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CB6A2" w14:textId="61963918" w:rsidR="00BB5BA3" w:rsidRDefault="0014056C" w:rsidP="00DD508F">
      <w:pPr>
        <w:spacing w:after="120" w:line="240" w:lineRule="auto"/>
        <w:rPr>
          <w:b/>
          <w:sz w:val="28"/>
          <w:szCs w:val="28"/>
        </w:rPr>
      </w:pPr>
      <w:r w:rsidRPr="0294A27B">
        <w:rPr>
          <w:b/>
          <w:sz w:val="28"/>
          <w:szCs w:val="28"/>
        </w:rPr>
        <w:t xml:space="preserve">Template </w:t>
      </w:r>
      <w:r w:rsidR="00BB5BA3" w:rsidRPr="0294A27B">
        <w:rPr>
          <w:b/>
          <w:sz w:val="28"/>
          <w:szCs w:val="28"/>
        </w:rPr>
        <w:t>Guidelines for Oral Pre-Exposure Prophylaxis</w:t>
      </w:r>
      <w:r w:rsidR="00E131D1" w:rsidRPr="3FEC80E4">
        <w:rPr>
          <w:b/>
          <w:bCs/>
          <w:sz w:val="28"/>
          <w:szCs w:val="28"/>
        </w:rPr>
        <w:t>,</w:t>
      </w:r>
      <w:r w:rsidR="00E131D1" w:rsidRPr="0294A27B">
        <w:rPr>
          <w:b/>
          <w:sz w:val="28"/>
          <w:szCs w:val="28"/>
        </w:rPr>
        <w:t xml:space="preserve"> </w:t>
      </w:r>
      <w:r w:rsidR="0082095D" w:rsidRPr="0294A27B">
        <w:rPr>
          <w:b/>
          <w:sz w:val="28"/>
          <w:szCs w:val="28"/>
        </w:rPr>
        <w:t>PrEP Ring</w:t>
      </w:r>
      <w:r w:rsidR="00E131D1" w:rsidRPr="0294A27B">
        <w:rPr>
          <w:b/>
          <w:sz w:val="28"/>
          <w:szCs w:val="28"/>
        </w:rPr>
        <w:t>, and CAB PrEP</w:t>
      </w:r>
    </w:p>
    <w:p w14:paraId="64259D6C" w14:textId="6C1121B5" w:rsidR="00823446" w:rsidRPr="00AB3253" w:rsidRDefault="00AB3253" w:rsidP="00DD508F">
      <w:pPr>
        <w:spacing w:after="120" w:line="240" w:lineRule="auto"/>
        <w:rPr>
          <w:bCs/>
          <w:i/>
          <w:iCs/>
          <w:sz w:val="24"/>
          <w:szCs w:val="24"/>
        </w:rPr>
      </w:pPr>
      <w:r w:rsidRPr="00AB3253">
        <w:rPr>
          <w:bCs/>
          <w:i/>
          <w:iCs/>
          <w:sz w:val="24"/>
          <w:szCs w:val="24"/>
        </w:rPr>
        <w:t xml:space="preserve">Updated </w:t>
      </w:r>
      <w:r w:rsidR="00C37750">
        <w:rPr>
          <w:bCs/>
          <w:i/>
          <w:iCs/>
          <w:sz w:val="24"/>
          <w:szCs w:val="24"/>
        </w:rPr>
        <w:t>October</w:t>
      </w:r>
      <w:r w:rsidR="00D83AD9">
        <w:rPr>
          <w:bCs/>
          <w:i/>
          <w:iCs/>
          <w:sz w:val="24"/>
          <w:szCs w:val="24"/>
        </w:rPr>
        <w:t xml:space="preserve"> 2024</w:t>
      </w:r>
    </w:p>
    <w:tbl>
      <w:tblPr>
        <w:tblW w:w="0" w:type="auto"/>
        <w:tblLook w:val="04A0" w:firstRow="1" w:lastRow="0" w:firstColumn="1" w:lastColumn="0" w:noHBand="0" w:noVBand="1"/>
      </w:tblPr>
      <w:tblGrid>
        <w:gridCol w:w="10456"/>
      </w:tblGrid>
      <w:tr w:rsidR="0082095D" w:rsidRPr="007F47FD" w14:paraId="5EB40A8C" w14:textId="77777777" w:rsidTr="1D9AD929">
        <w:tc>
          <w:tcPr>
            <w:tcW w:w="10456" w:type="dxa"/>
            <w:shd w:val="clear" w:color="auto" w:fill="D9E2F3" w:themeFill="accent1" w:themeFillTint="33"/>
          </w:tcPr>
          <w:p w14:paraId="24CDB784" w14:textId="36C1B581" w:rsidR="00B637DB" w:rsidRPr="007F47FD" w:rsidRDefault="00B637DB" w:rsidP="18192185">
            <w:pPr>
              <w:spacing w:after="120"/>
            </w:pPr>
            <w:r w:rsidRPr="74385935">
              <w:rPr>
                <w:color w:val="000000" w:themeColor="text1"/>
              </w:rPr>
              <w:t xml:space="preserve">The intent of this document is to provide adaptable guidelines to support the development and adoption of national guidelines that align with World Health Organization (WHO) pre-exposure prophylaxis (PrEP) </w:t>
            </w:r>
            <w:r w:rsidR="33D5F323" w:rsidRPr="74385935">
              <w:rPr>
                <w:color w:val="000000" w:themeColor="text1"/>
              </w:rPr>
              <w:t xml:space="preserve">recommendations and </w:t>
            </w:r>
            <w:r w:rsidRPr="74385935">
              <w:rPr>
                <w:color w:val="000000" w:themeColor="text1"/>
              </w:rPr>
              <w:t>guidance</w:t>
            </w:r>
            <w:r w:rsidR="00DA03E9" w:rsidRPr="74385935">
              <w:rPr>
                <w:color w:val="000000" w:themeColor="text1"/>
              </w:rPr>
              <w:t>, including</w:t>
            </w:r>
            <w:r w:rsidRPr="74385935">
              <w:rPr>
                <w:color w:val="000000" w:themeColor="text1"/>
              </w:rPr>
              <w:t xml:space="preserve"> </w:t>
            </w:r>
            <w:r w:rsidR="24BCA6BE" w:rsidRPr="74385935">
              <w:rPr>
                <w:color w:val="000000" w:themeColor="text1"/>
              </w:rPr>
              <w:t xml:space="preserve">those </w:t>
            </w:r>
            <w:r w:rsidRPr="74385935">
              <w:rPr>
                <w:color w:val="000000" w:themeColor="text1"/>
              </w:rPr>
              <w:t>for tenofovir</w:t>
            </w:r>
            <w:r w:rsidR="006A6A3D" w:rsidRPr="74385935">
              <w:rPr>
                <w:color w:val="000000" w:themeColor="text1"/>
              </w:rPr>
              <w:t xml:space="preserve"> disoproxil </w:t>
            </w:r>
            <w:r w:rsidRPr="36B73A52">
              <w:rPr>
                <w:color w:val="000000" w:themeColor="text1"/>
              </w:rPr>
              <w:t>fumar</w:t>
            </w:r>
            <w:r w:rsidR="2C2AB796" w:rsidRPr="36B73A52">
              <w:rPr>
                <w:color w:val="000000" w:themeColor="text1"/>
              </w:rPr>
              <w:t>ate</w:t>
            </w:r>
            <w:r w:rsidR="006A6A3D" w:rsidRPr="74385935">
              <w:rPr>
                <w:color w:val="000000" w:themeColor="text1"/>
              </w:rPr>
              <w:t xml:space="preserve"> (TDF)</w:t>
            </w:r>
            <w:r w:rsidRPr="74385935">
              <w:rPr>
                <w:color w:val="000000" w:themeColor="text1"/>
              </w:rPr>
              <w:t>-based oral PrEP</w:t>
            </w:r>
            <w:r w:rsidR="00A579D7" w:rsidRPr="74385935">
              <w:rPr>
                <w:color w:val="000000" w:themeColor="text1"/>
              </w:rPr>
              <w:t>,</w:t>
            </w:r>
            <w:r w:rsidRPr="74385935">
              <w:rPr>
                <w:color w:val="000000" w:themeColor="text1"/>
              </w:rPr>
              <w:t xml:space="preserve"> the </w:t>
            </w:r>
            <w:r>
              <w:t xml:space="preserve">monthly dapivirine vaginal ring </w:t>
            </w:r>
            <w:r w:rsidR="002F6E06">
              <w:t>(</w:t>
            </w:r>
            <w:r>
              <w:t>“PrEP ring” or “the ring</w:t>
            </w:r>
            <w:r w:rsidR="00A579D7">
              <w:t>”</w:t>
            </w:r>
            <w:r w:rsidR="002F6E06">
              <w:t>)</w:t>
            </w:r>
            <w:r w:rsidR="00510E2B">
              <w:t>,</w:t>
            </w:r>
            <w:r w:rsidR="00A579D7">
              <w:t xml:space="preserve"> and injectable cabotegravir</w:t>
            </w:r>
            <w:r w:rsidR="00AF28EB">
              <w:t xml:space="preserve"> (CAB PrEP).</w:t>
            </w:r>
            <w:r>
              <w:t xml:space="preserve"> </w:t>
            </w:r>
            <w:r w:rsidR="00C03009">
              <w:t xml:space="preserve">Designed as a template, this tool offers language and </w:t>
            </w:r>
            <w:r w:rsidR="00126209">
              <w:t xml:space="preserve">points for consideration </w:t>
            </w:r>
            <w:r w:rsidR="00CF1BF1">
              <w:t>for use b</w:t>
            </w:r>
            <w:r w:rsidR="00126209">
              <w:t>y national policymakers during the creation or adaptation of national guidance</w:t>
            </w:r>
            <w:r w:rsidR="00CF1BF1">
              <w:t xml:space="preserve"> (guidelines, standards of practice, policy addendums, etc.)</w:t>
            </w:r>
            <w:r w:rsidR="00126209">
              <w:t xml:space="preserve"> for new PrEP methods.</w:t>
            </w:r>
            <w:r w:rsidR="00CF1BF1">
              <w:t xml:space="preserve"> </w:t>
            </w:r>
            <w:r w:rsidRPr="74385935">
              <w:rPr>
                <w:color w:val="000000" w:themeColor="text1"/>
              </w:rPr>
              <w:t>The document includes prompts for national-level consideration during the guideline adaptation process. Areas specifically requiring national update</w:t>
            </w:r>
            <w:r w:rsidR="001410E7" w:rsidRPr="74385935">
              <w:rPr>
                <w:color w:val="000000" w:themeColor="text1"/>
              </w:rPr>
              <w:t>s</w:t>
            </w:r>
            <w:r w:rsidRPr="74385935">
              <w:rPr>
                <w:color w:val="000000" w:themeColor="text1"/>
              </w:rPr>
              <w:t xml:space="preserve"> are indicated in </w:t>
            </w:r>
            <w:r w:rsidRPr="74385935">
              <w:rPr>
                <w:color w:val="FF0000"/>
              </w:rPr>
              <w:t>red font</w:t>
            </w:r>
            <w:r w:rsidR="00D67EF2">
              <w:t>;</w:t>
            </w:r>
            <w:r w:rsidR="005918C5">
              <w:t xml:space="preserve"> sections for additional consideration by policymakers</w:t>
            </w:r>
            <w:r w:rsidR="00A41289">
              <w:t>, shown</w:t>
            </w:r>
            <w:r w:rsidR="005918C5">
              <w:t xml:space="preserve"> in green boxes</w:t>
            </w:r>
            <w:r w:rsidR="00A41289">
              <w:t>,</w:t>
            </w:r>
            <w:r w:rsidR="0194F033">
              <w:t xml:space="preserve"> a</w:t>
            </w:r>
            <w:r w:rsidR="00A41289">
              <w:t>re</w:t>
            </w:r>
            <w:r w:rsidR="0194F033">
              <w:t xml:space="preserve"> informed by regulatory bodies, </w:t>
            </w:r>
            <w:r w:rsidR="6A085171">
              <w:t>available</w:t>
            </w:r>
            <w:r w:rsidR="0194F033">
              <w:t xml:space="preserve"> product information, and </w:t>
            </w:r>
            <w:r w:rsidR="658806BC">
              <w:t>country-level insights</w:t>
            </w:r>
            <w:r w:rsidR="1E373D0E">
              <w:t>.</w:t>
            </w:r>
            <w:r>
              <w:t xml:space="preserve"> </w:t>
            </w:r>
            <w:r w:rsidR="00380BD9">
              <w:t xml:space="preserve">Once a decision </w:t>
            </w:r>
            <w:r w:rsidR="00165639">
              <w:t>ha</w:t>
            </w:r>
            <w:r w:rsidR="00380BD9">
              <w:t xml:space="preserve">s </w:t>
            </w:r>
            <w:r w:rsidR="00165639">
              <w:t>been</w:t>
            </w:r>
            <w:r w:rsidR="00380BD9">
              <w:t xml:space="preserve"> made about </w:t>
            </w:r>
            <w:r w:rsidR="009F0EFA">
              <w:t xml:space="preserve">the </w:t>
            </w:r>
            <w:r w:rsidR="00380BD9">
              <w:t xml:space="preserve">considerations in green boxes, </w:t>
            </w:r>
            <w:r w:rsidR="0861A2D7">
              <w:t>text can be added</w:t>
            </w:r>
            <w:r w:rsidR="000150B8">
              <w:t>,</w:t>
            </w:r>
            <w:r w:rsidR="0861A2D7">
              <w:t xml:space="preserve"> and the green boxes</w:t>
            </w:r>
            <w:r w:rsidR="00380BD9">
              <w:t xml:space="preserve"> can be removed.</w:t>
            </w:r>
          </w:p>
          <w:p w14:paraId="0305F981" w14:textId="5E154855" w:rsidR="00B637DB" w:rsidRPr="007F47FD" w:rsidRDefault="600B875E" w:rsidP="00DD508F">
            <w:pPr>
              <w:spacing w:after="120"/>
            </w:pPr>
            <w:r>
              <w:t xml:space="preserve">The content of this document was sourced largely from: </w:t>
            </w:r>
          </w:p>
          <w:p w14:paraId="331F54BE" w14:textId="6B2D8133" w:rsidR="00E24427" w:rsidRDefault="001631DD" w:rsidP="008C5B8D">
            <w:pPr>
              <w:pStyle w:val="ListParagraph"/>
              <w:numPr>
                <w:ilvl w:val="0"/>
                <w:numId w:val="5"/>
              </w:numPr>
              <w:spacing w:after="0"/>
            </w:pPr>
            <w:hyperlink r:id="rId11" w:anchor="modules" w:history="1">
              <w:r w:rsidRPr="002F74B8">
                <w:rPr>
                  <w:rStyle w:val="Hyperlink"/>
                </w:rPr>
                <w:t>Provider Module for Oral and Long-acting PrEP</w:t>
              </w:r>
            </w:hyperlink>
            <w:r>
              <w:t xml:space="preserve"> from WHO (July 2024)</w:t>
            </w:r>
          </w:p>
          <w:p w14:paraId="11F3D98C" w14:textId="1D3C7348" w:rsidR="00BC1D21" w:rsidRDefault="007A77E0" w:rsidP="008C5B8D">
            <w:pPr>
              <w:pStyle w:val="ListParagraph"/>
              <w:numPr>
                <w:ilvl w:val="0"/>
                <w:numId w:val="5"/>
              </w:numPr>
              <w:spacing w:after="0"/>
            </w:pPr>
            <w:hyperlink r:id="rId12" w:history="1">
              <w:r w:rsidRPr="006F6922">
                <w:rPr>
                  <w:rStyle w:val="Hyperlink"/>
                </w:rPr>
                <w:t xml:space="preserve">Australian Product Information for </w:t>
              </w:r>
              <w:proofErr w:type="spellStart"/>
              <w:r w:rsidRPr="006F6922">
                <w:rPr>
                  <w:rStyle w:val="Hyperlink"/>
                </w:rPr>
                <w:t>Apretude</w:t>
              </w:r>
              <w:proofErr w:type="spellEnd"/>
            </w:hyperlink>
            <w:r w:rsidR="00BC1D21">
              <w:t xml:space="preserve"> (August 2022)</w:t>
            </w:r>
          </w:p>
          <w:p w14:paraId="0BB85641" w14:textId="65C14AA9" w:rsidR="00BC1D21" w:rsidRDefault="00BC1D21" w:rsidP="008C5B8D">
            <w:pPr>
              <w:pStyle w:val="ListParagraph"/>
              <w:numPr>
                <w:ilvl w:val="0"/>
                <w:numId w:val="5"/>
              </w:numPr>
              <w:spacing w:after="0"/>
            </w:pPr>
            <w:hyperlink r:id="rId13">
              <w:r w:rsidRPr="7FA8FDCC">
                <w:rPr>
                  <w:rStyle w:val="Hyperlink"/>
                </w:rPr>
                <w:t>Updated Differentiated and Simplified Pre-exposure Prophylaxis for HIV Prevention</w:t>
              </w:r>
            </w:hyperlink>
            <w:r>
              <w:t xml:space="preserve"> from WHO (July 2022)</w:t>
            </w:r>
          </w:p>
          <w:p w14:paraId="33111DAC" w14:textId="04328BFD" w:rsidR="00BC1D21" w:rsidRDefault="00BC1D21" w:rsidP="008C5B8D">
            <w:pPr>
              <w:pStyle w:val="ListParagraph"/>
              <w:numPr>
                <w:ilvl w:val="0"/>
                <w:numId w:val="5"/>
              </w:numPr>
              <w:spacing w:after="0"/>
            </w:pPr>
            <w:hyperlink r:id="rId14">
              <w:r w:rsidRPr="3ED5D59A">
                <w:rPr>
                  <w:rStyle w:val="Hyperlink"/>
                </w:rPr>
                <w:t>Guidelines on Long-Acting Injectable Cabotegravir for HIV Prevention</w:t>
              </w:r>
            </w:hyperlink>
            <w:r w:rsidRPr="3ED5D59A">
              <w:t xml:space="preserve"> from WHO (July 2022)</w:t>
            </w:r>
          </w:p>
          <w:p w14:paraId="1C85A56C" w14:textId="553E8D72" w:rsidR="00572E2A" w:rsidRDefault="00572E2A" w:rsidP="008C5B8D">
            <w:pPr>
              <w:pStyle w:val="ListParagraph"/>
              <w:numPr>
                <w:ilvl w:val="0"/>
                <w:numId w:val="5"/>
              </w:numPr>
              <w:spacing w:after="0"/>
            </w:pPr>
            <w:hyperlink r:id="rId15" w:history="1">
              <w:r w:rsidRPr="00572E2A">
                <w:rPr>
                  <w:rStyle w:val="Hyperlink"/>
                </w:rPr>
                <w:t xml:space="preserve">Consolidated </w:t>
              </w:r>
              <w:r w:rsidR="006449E3">
                <w:rPr>
                  <w:rStyle w:val="Hyperlink"/>
                </w:rPr>
                <w:t>G</w:t>
              </w:r>
              <w:r w:rsidRPr="00572E2A">
                <w:rPr>
                  <w:rStyle w:val="Hyperlink"/>
                </w:rPr>
                <w:t xml:space="preserve">uidelines on HIV </w:t>
              </w:r>
              <w:r w:rsidR="006449E3">
                <w:rPr>
                  <w:rStyle w:val="Hyperlink"/>
                </w:rPr>
                <w:t>V</w:t>
              </w:r>
              <w:r w:rsidRPr="00572E2A">
                <w:rPr>
                  <w:rStyle w:val="Hyperlink"/>
                </w:rPr>
                <w:t xml:space="preserve">iral </w:t>
              </w:r>
              <w:r w:rsidR="006449E3">
                <w:rPr>
                  <w:rStyle w:val="Hyperlink"/>
                </w:rPr>
                <w:t>H</w:t>
              </w:r>
              <w:r w:rsidRPr="00572E2A">
                <w:rPr>
                  <w:rStyle w:val="Hyperlink"/>
                </w:rPr>
                <w:t xml:space="preserve">epatitis and STI </w:t>
              </w:r>
              <w:r w:rsidR="006449E3" w:rsidRPr="00572E2A">
                <w:rPr>
                  <w:rStyle w:val="Hyperlink"/>
                </w:rPr>
                <w:t>Prevention, Diagnosis, Treatment</w:t>
              </w:r>
              <w:r w:rsidRPr="00572E2A">
                <w:rPr>
                  <w:rStyle w:val="Hyperlink"/>
                </w:rPr>
                <w:t xml:space="preserve">, and </w:t>
              </w:r>
              <w:r w:rsidR="006449E3">
                <w:rPr>
                  <w:rStyle w:val="Hyperlink"/>
                </w:rPr>
                <w:t>C</w:t>
              </w:r>
              <w:r w:rsidRPr="00572E2A">
                <w:rPr>
                  <w:rStyle w:val="Hyperlink"/>
                </w:rPr>
                <w:t xml:space="preserve">are for </w:t>
              </w:r>
              <w:r w:rsidR="006449E3" w:rsidRPr="00572E2A">
                <w:rPr>
                  <w:rStyle w:val="Hyperlink"/>
                </w:rPr>
                <w:t>Key Population</w:t>
              </w:r>
              <w:r w:rsidRPr="00572E2A">
                <w:rPr>
                  <w:rStyle w:val="Hyperlink"/>
                </w:rPr>
                <w:t>s</w:t>
              </w:r>
            </w:hyperlink>
            <w:r>
              <w:t xml:space="preserve"> from WHO (July 2022)</w:t>
            </w:r>
          </w:p>
          <w:p w14:paraId="43870AC2" w14:textId="72E2DB28" w:rsidR="006667A4" w:rsidRDefault="1D392859" w:rsidP="008C5B8D">
            <w:pPr>
              <w:pStyle w:val="ListParagraph"/>
              <w:numPr>
                <w:ilvl w:val="0"/>
                <w:numId w:val="5"/>
              </w:numPr>
              <w:spacing w:after="0"/>
              <w:contextualSpacing w:val="0"/>
              <w:rPr>
                <w:rFonts w:cstheme="minorHAnsi"/>
              </w:rPr>
            </w:pPr>
            <w:hyperlink r:id="rId16">
              <w:r w:rsidRPr="60C7856B">
                <w:rPr>
                  <w:rStyle w:val="Hyperlink"/>
                </w:rPr>
                <w:t xml:space="preserve">United States Food and Drug Administration </w:t>
              </w:r>
              <w:proofErr w:type="spellStart"/>
              <w:r w:rsidRPr="60C7856B">
                <w:rPr>
                  <w:rStyle w:val="Hyperlink"/>
                </w:rPr>
                <w:t>Apretude</w:t>
              </w:r>
              <w:proofErr w:type="spellEnd"/>
              <w:r w:rsidRPr="60C7856B">
                <w:rPr>
                  <w:rStyle w:val="Hyperlink"/>
                </w:rPr>
                <w:t xml:space="preserve"> </w:t>
              </w:r>
              <w:r w:rsidR="00102905">
                <w:rPr>
                  <w:rStyle w:val="Hyperlink"/>
                </w:rPr>
                <w:t>L</w:t>
              </w:r>
              <w:r w:rsidRPr="60C7856B">
                <w:rPr>
                  <w:rStyle w:val="Hyperlink"/>
                </w:rPr>
                <w:t>abel</w:t>
              </w:r>
            </w:hyperlink>
            <w:r w:rsidRPr="60C7856B">
              <w:t xml:space="preserve"> (</w:t>
            </w:r>
            <w:r w:rsidR="4D6BE5D5" w:rsidRPr="60C7856B">
              <w:t>December 2021)</w:t>
            </w:r>
          </w:p>
          <w:p w14:paraId="38F7198C" w14:textId="77777777" w:rsidR="00BC1D21" w:rsidRPr="007F47FD" w:rsidRDefault="665BFD33" w:rsidP="008C5B8D">
            <w:pPr>
              <w:pStyle w:val="ListParagraph"/>
              <w:numPr>
                <w:ilvl w:val="0"/>
                <w:numId w:val="5"/>
              </w:numPr>
              <w:spacing w:after="0"/>
              <w:contextualSpacing w:val="0"/>
              <w:rPr>
                <w:rFonts w:cstheme="minorHAnsi"/>
              </w:rPr>
            </w:pPr>
            <w:hyperlink r:id="rId17">
              <w:r w:rsidRPr="6620F2F5">
                <w:rPr>
                  <w:color w:val="0563C1"/>
                  <w:u w:val="single"/>
                </w:rPr>
                <w:t>Consolidated Guidelines on HIV Prevention, Testing, Treatment, Service Delivery and Monitoring: Recommendations for a Public Health Approach</w:t>
              </w:r>
            </w:hyperlink>
            <w:r w:rsidRPr="6620F2F5">
              <w:rPr>
                <w:i/>
                <w:iCs/>
                <w:color w:val="0563C1"/>
                <w:u w:val="single"/>
              </w:rPr>
              <w:t xml:space="preserve"> </w:t>
            </w:r>
            <w:r w:rsidRPr="6620F2F5">
              <w:t xml:space="preserve">from WHO (July 2021) </w:t>
            </w:r>
          </w:p>
          <w:p w14:paraId="63AAB62D" w14:textId="5B445A1B" w:rsidR="00BC1D21" w:rsidRPr="00BF29DD" w:rsidRDefault="665BFD33" w:rsidP="008C5B8D">
            <w:pPr>
              <w:pStyle w:val="ListParagraph"/>
              <w:numPr>
                <w:ilvl w:val="0"/>
                <w:numId w:val="5"/>
              </w:numPr>
              <w:spacing w:after="0"/>
              <w:contextualSpacing w:val="0"/>
              <w:rPr>
                <w:rFonts w:cstheme="minorHAnsi"/>
              </w:rPr>
            </w:pPr>
            <w:hyperlink r:id="rId18">
              <w:r w:rsidRPr="60C7856B">
                <w:rPr>
                  <w:rStyle w:val="Hyperlink"/>
                </w:rPr>
                <w:t>Summary of Product Characteristics for PrEP Ring</w:t>
              </w:r>
            </w:hyperlink>
            <w:r w:rsidRPr="60C7856B">
              <w:t xml:space="preserve"> from the European Medicines Agency (April 2021)</w:t>
            </w:r>
          </w:p>
          <w:p w14:paraId="72EF1855" w14:textId="6841A62E" w:rsidR="00BC1D21" w:rsidRDefault="665BFD33" w:rsidP="008C5B8D">
            <w:pPr>
              <w:pStyle w:val="ListParagraph"/>
              <w:numPr>
                <w:ilvl w:val="0"/>
                <w:numId w:val="5"/>
              </w:numPr>
              <w:spacing w:after="0"/>
              <w:contextualSpacing w:val="0"/>
              <w:rPr>
                <w:rFonts w:cstheme="minorHAnsi"/>
              </w:rPr>
            </w:pPr>
            <w:hyperlink r:id="rId19">
              <w:r w:rsidRPr="60C7856B">
                <w:rPr>
                  <w:rStyle w:val="Hyperlink"/>
                </w:rPr>
                <w:t>Updated Recommendations on HIV Prevention, Infant Diagnosis, Antiretroviral Initiation and Monitoring Guidelines</w:t>
              </w:r>
            </w:hyperlink>
            <w:r w:rsidRPr="60C7856B">
              <w:t xml:space="preserve"> from WHO (March 2021)</w:t>
            </w:r>
          </w:p>
          <w:p w14:paraId="7BA847A2" w14:textId="77777777" w:rsidR="008C5B8D" w:rsidRPr="00572E2A" w:rsidRDefault="008C5B8D" w:rsidP="00B60700">
            <w:pPr>
              <w:pStyle w:val="ListParagraph"/>
              <w:spacing w:after="0"/>
              <w:contextualSpacing w:val="0"/>
              <w:rPr>
                <w:rFonts w:cstheme="minorHAnsi"/>
              </w:rPr>
            </w:pPr>
          </w:p>
          <w:p w14:paraId="48A435E2" w14:textId="55AD744D" w:rsidR="0075207F" w:rsidRPr="007F47FD" w:rsidRDefault="058A1269" w:rsidP="00DD508F">
            <w:pPr>
              <w:spacing w:after="120"/>
            </w:pPr>
            <w:r>
              <w:t>This document was developed by MOSAIC (Maximizing Options to Advance Informed Choice for HIV Prevention) in close collaboration with the U.S. Agency for International Development (USAID)</w:t>
            </w:r>
            <w:r w:rsidR="00513C46">
              <w:t xml:space="preserve"> and The Global Fund to Fight AIDS, Tuberculosis and Malaria</w:t>
            </w:r>
            <w:r>
              <w:t xml:space="preserve">. </w:t>
            </w:r>
            <w:r w:rsidR="57EE101E">
              <w:t>The document</w:t>
            </w:r>
            <w:r>
              <w:t xml:space="preserve"> is made possible by the generous support of the </w:t>
            </w:r>
            <w:r w:rsidR="00A57D89">
              <w:t xml:space="preserve">American people through the </w:t>
            </w:r>
            <w:r>
              <w:t xml:space="preserve">U.S. President’s Emergency Plan for AIDS Relief (PEPFAR) and </w:t>
            </w:r>
            <w:r w:rsidR="159C11DF">
              <w:t>USAID</w:t>
            </w:r>
            <w:r w:rsidR="50BA1093">
              <w:t>.</w:t>
            </w:r>
            <w:r>
              <w:t xml:space="preserve"> The contents are the responsibility of </w:t>
            </w:r>
            <w:r w:rsidR="264DE3E5">
              <w:t xml:space="preserve">the </w:t>
            </w:r>
            <w:r>
              <w:t xml:space="preserve">MOSAIC </w:t>
            </w:r>
            <w:r w:rsidR="264DE3E5">
              <w:t>project</w:t>
            </w:r>
            <w:r>
              <w:t xml:space="preserve"> and do not necessarily reflect the views of PEPFAR, USAID, or the U.S. Government.</w:t>
            </w:r>
            <w:r w:rsidR="1C79D026">
              <w:t xml:space="preserve"> MOSAIC is a global cooperative agreement (</w:t>
            </w:r>
            <w:r w:rsidR="12BEBEA7">
              <w:t>C</w:t>
            </w:r>
            <w:r w:rsidR="1C79D026">
              <w:t xml:space="preserve">ooperative </w:t>
            </w:r>
            <w:r w:rsidR="12BEBEA7">
              <w:t>A</w:t>
            </w:r>
            <w:r w:rsidR="1C79D026">
              <w:t xml:space="preserve">greement 7200AA21CA00011) led by FHI 360, with core partners </w:t>
            </w:r>
            <w:r w:rsidR="001307EC">
              <w:t>Wits RHI, Pangaea Zimbabwe, LVCT Health, Jhpiego, and AVAC</w:t>
            </w:r>
            <w:r>
              <w:t>.</w:t>
            </w:r>
          </w:p>
        </w:tc>
      </w:tr>
    </w:tbl>
    <w:p w14:paraId="0DD1F0D5" w14:textId="77777777" w:rsidR="0082095D" w:rsidRPr="007F47FD" w:rsidRDefault="0082095D" w:rsidP="00DD508F">
      <w:pPr>
        <w:spacing w:after="120" w:line="240" w:lineRule="auto"/>
        <w:rPr>
          <w:rFonts w:cstheme="minorHAnsi"/>
          <w:b/>
          <w:sz w:val="28"/>
          <w:szCs w:val="28"/>
        </w:rPr>
      </w:pPr>
    </w:p>
    <w:p w14:paraId="1DD33B59" w14:textId="77777777" w:rsidR="009242E4" w:rsidRDefault="009242E4">
      <w:pPr>
        <w:rPr>
          <w:rFonts w:cstheme="minorHAnsi"/>
          <w:color w:val="2F5496"/>
          <w:sz w:val="32"/>
          <w:szCs w:val="32"/>
        </w:rPr>
      </w:pPr>
      <w:r>
        <w:rPr>
          <w:rFonts w:cstheme="minorHAnsi"/>
          <w:color w:val="2F5496"/>
          <w:sz w:val="32"/>
          <w:szCs w:val="32"/>
        </w:rPr>
        <w:br w:type="page"/>
      </w:r>
    </w:p>
    <w:p w14:paraId="63853391" w14:textId="71A9E56B" w:rsidR="00BB5BA3" w:rsidRPr="007F47FD" w:rsidRDefault="00BB5BA3" w:rsidP="00DD508F">
      <w:pPr>
        <w:keepNext/>
        <w:keepLines/>
        <w:pBdr>
          <w:top w:val="nil"/>
          <w:left w:val="nil"/>
          <w:bottom w:val="nil"/>
          <w:right w:val="nil"/>
          <w:between w:val="nil"/>
        </w:pBdr>
        <w:spacing w:after="120" w:line="240" w:lineRule="auto"/>
        <w:rPr>
          <w:rFonts w:cstheme="minorHAnsi"/>
          <w:color w:val="2F5496"/>
          <w:sz w:val="32"/>
          <w:szCs w:val="32"/>
        </w:rPr>
      </w:pPr>
      <w:r w:rsidRPr="007F47FD">
        <w:rPr>
          <w:rFonts w:cstheme="minorHAnsi"/>
          <w:color w:val="2F5496"/>
          <w:sz w:val="32"/>
          <w:szCs w:val="32"/>
        </w:rPr>
        <w:lastRenderedPageBreak/>
        <w:t>Table of Contents</w:t>
      </w:r>
    </w:p>
    <w:p w14:paraId="08181F0A" w14:textId="77777777" w:rsidR="00BB5BA3" w:rsidRPr="007F47FD" w:rsidRDefault="00BB5BA3" w:rsidP="00DD508F">
      <w:pPr>
        <w:spacing w:after="120" w:line="240" w:lineRule="auto"/>
        <w:rPr>
          <w:rFonts w:cstheme="minorHAnsi"/>
        </w:rPr>
      </w:pPr>
    </w:p>
    <w:sdt>
      <w:sdtPr>
        <w:rPr>
          <w:rFonts w:asciiTheme="minorHAnsi" w:eastAsiaTheme="minorEastAsia" w:hAnsiTheme="minorHAnsi" w:cstheme="minorBidi"/>
        </w:rPr>
        <w:id w:val="-348175706"/>
        <w:docPartObj>
          <w:docPartGallery w:val="Table of Contents"/>
          <w:docPartUnique/>
        </w:docPartObj>
      </w:sdtPr>
      <w:sdtEndPr/>
      <w:sdtContent>
        <w:p w14:paraId="64748A56" w14:textId="407F5B99" w:rsidR="00CA59A6" w:rsidRDefault="00BB5BA3">
          <w:pPr>
            <w:pStyle w:val="TOC1"/>
            <w:rPr>
              <w:rFonts w:asciiTheme="minorHAnsi" w:eastAsiaTheme="minorEastAsia" w:hAnsiTheme="minorHAnsi" w:cstheme="minorBidi"/>
              <w:noProof/>
              <w:kern w:val="2"/>
              <w:sz w:val="24"/>
              <w:szCs w:val="24"/>
              <w:lang w:val="en-GB" w:eastAsia="en-GB"/>
              <w14:ligatures w14:val="standardContextual"/>
            </w:rPr>
          </w:pPr>
          <w:r w:rsidRPr="007F47FD">
            <w:rPr>
              <w:rFonts w:asciiTheme="minorHAnsi" w:hAnsiTheme="minorHAnsi" w:cstheme="minorHAnsi"/>
            </w:rPr>
            <w:fldChar w:fldCharType="begin"/>
          </w:r>
          <w:r w:rsidRPr="007F47FD">
            <w:rPr>
              <w:rFonts w:asciiTheme="minorHAnsi" w:hAnsiTheme="minorHAnsi" w:cstheme="minorHAnsi"/>
            </w:rPr>
            <w:instrText xml:space="preserve"> TOC \h \u \z </w:instrText>
          </w:r>
          <w:r w:rsidRPr="007F47FD">
            <w:rPr>
              <w:rFonts w:asciiTheme="minorHAnsi" w:hAnsiTheme="minorHAnsi" w:cstheme="minorHAnsi"/>
            </w:rPr>
            <w:fldChar w:fldCharType="separate"/>
          </w:r>
          <w:hyperlink w:anchor="_Toc182989090" w:history="1">
            <w:r w:rsidR="00CA59A6" w:rsidRPr="004D5A70">
              <w:rPr>
                <w:rStyle w:val="Hyperlink"/>
                <w:rFonts w:cstheme="minorHAnsi"/>
                <w:noProof/>
              </w:rPr>
              <w:t>List of Acronyms</w:t>
            </w:r>
            <w:r w:rsidR="00CA59A6">
              <w:rPr>
                <w:noProof/>
                <w:webHidden/>
              </w:rPr>
              <w:tab/>
            </w:r>
            <w:r w:rsidR="00CA59A6">
              <w:rPr>
                <w:noProof/>
                <w:webHidden/>
              </w:rPr>
              <w:fldChar w:fldCharType="begin"/>
            </w:r>
            <w:r w:rsidR="00CA59A6">
              <w:rPr>
                <w:noProof/>
                <w:webHidden/>
              </w:rPr>
              <w:instrText xml:space="preserve"> PAGEREF _Toc182989090 \h </w:instrText>
            </w:r>
            <w:r w:rsidR="00CA59A6">
              <w:rPr>
                <w:noProof/>
                <w:webHidden/>
              </w:rPr>
            </w:r>
            <w:r w:rsidR="00CA59A6">
              <w:rPr>
                <w:noProof/>
                <w:webHidden/>
              </w:rPr>
              <w:fldChar w:fldCharType="separate"/>
            </w:r>
            <w:r w:rsidR="00CA59A6">
              <w:rPr>
                <w:noProof/>
                <w:webHidden/>
              </w:rPr>
              <w:t>4</w:t>
            </w:r>
            <w:r w:rsidR="00CA59A6">
              <w:rPr>
                <w:noProof/>
                <w:webHidden/>
              </w:rPr>
              <w:fldChar w:fldCharType="end"/>
            </w:r>
          </w:hyperlink>
        </w:p>
        <w:p w14:paraId="65EBFFAC" w14:textId="4D345961"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091" w:history="1">
            <w:r w:rsidRPr="004D5A70">
              <w:rPr>
                <w:rStyle w:val="Hyperlink"/>
                <w:noProof/>
              </w:rPr>
              <w:t>Overview of Pre-exposure Prophylaxis</w:t>
            </w:r>
            <w:r>
              <w:rPr>
                <w:noProof/>
                <w:webHidden/>
              </w:rPr>
              <w:tab/>
            </w:r>
            <w:r>
              <w:rPr>
                <w:noProof/>
                <w:webHidden/>
              </w:rPr>
              <w:fldChar w:fldCharType="begin"/>
            </w:r>
            <w:r>
              <w:rPr>
                <w:noProof/>
                <w:webHidden/>
              </w:rPr>
              <w:instrText xml:space="preserve"> PAGEREF _Toc182989091 \h </w:instrText>
            </w:r>
            <w:r>
              <w:rPr>
                <w:noProof/>
                <w:webHidden/>
              </w:rPr>
            </w:r>
            <w:r>
              <w:rPr>
                <w:noProof/>
                <w:webHidden/>
              </w:rPr>
              <w:fldChar w:fldCharType="separate"/>
            </w:r>
            <w:r>
              <w:rPr>
                <w:noProof/>
                <w:webHidden/>
              </w:rPr>
              <w:t>5</w:t>
            </w:r>
            <w:r>
              <w:rPr>
                <w:noProof/>
                <w:webHidden/>
              </w:rPr>
              <w:fldChar w:fldCharType="end"/>
            </w:r>
          </w:hyperlink>
        </w:p>
        <w:p w14:paraId="29BC620C" w14:textId="3DC6FF12"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092" w:history="1">
            <w:r w:rsidRPr="004D5A70">
              <w:rPr>
                <w:rStyle w:val="Hyperlink"/>
                <w:noProof/>
              </w:rPr>
              <w:t>Overview of Oral PrEP</w:t>
            </w:r>
            <w:r>
              <w:rPr>
                <w:noProof/>
                <w:webHidden/>
              </w:rPr>
              <w:tab/>
            </w:r>
            <w:r>
              <w:rPr>
                <w:noProof/>
                <w:webHidden/>
              </w:rPr>
              <w:fldChar w:fldCharType="begin"/>
            </w:r>
            <w:r>
              <w:rPr>
                <w:noProof/>
                <w:webHidden/>
              </w:rPr>
              <w:instrText xml:space="preserve"> PAGEREF _Toc182989092 \h </w:instrText>
            </w:r>
            <w:r>
              <w:rPr>
                <w:noProof/>
                <w:webHidden/>
              </w:rPr>
            </w:r>
            <w:r>
              <w:rPr>
                <w:noProof/>
                <w:webHidden/>
              </w:rPr>
              <w:fldChar w:fldCharType="separate"/>
            </w:r>
            <w:r>
              <w:rPr>
                <w:noProof/>
                <w:webHidden/>
              </w:rPr>
              <w:t>5</w:t>
            </w:r>
            <w:r>
              <w:rPr>
                <w:noProof/>
                <w:webHidden/>
              </w:rPr>
              <w:fldChar w:fldCharType="end"/>
            </w:r>
          </w:hyperlink>
        </w:p>
        <w:p w14:paraId="3B0A23CD" w14:textId="0A083FEE" w:rsidR="00CA59A6" w:rsidRDefault="00CA59A6">
          <w:pPr>
            <w:pStyle w:val="TOC3"/>
            <w:rPr>
              <w:rFonts w:eastAsiaTheme="minorEastAsia"/>
              <w:noProof/>
              <w:kern w:val="2"/>
              <w:sz w:val="24"/>
              <w:szCs w:val="24"/>
              <w:lang w:val="en-GB" w:eastAsia="en-GB"/>
              <w14:ligatures w14:val="standardContextual"/>
            </w:rPr>
          </w:pPr>
          <w:hyperlink w:anchor="_Toc182989093" w:history="1">
            <w:r w:rsidRPr="004D5A70">
              <w:rPr>
                <w:rStyle w:val="Hyperlink"/>
                <w:noProof/>
              </w:rPr>
              <w:t>Approved Drugs for Oral PrEP</w:t>
            </w:r>
            <w:r>
              <w:rPr>
                <w:noProof/>
                <w:webHidden/>
              </w:rPr>
              <w:tab/>
            </w:r>
            <w:r>
              <w:rPr>
                <w:noProof/>
                <w:webHidden/>
              </w:rPr>
              <w:fldChar w:fldCharType="begin"/>
            </w:r>
            <w:r>
              <w:rPr>
                <w:noProof/>
                <w:webHidden/>
              </w:rPr>
              <w:instrText xml:space="preserve"> PAGEREF _Toc182989093 \h </w:instrText>
            </w:r>
            <w:r>
              <w:rPr>
                <w:noProof/>
                <w:webHidden/>
              </w:rPr>
            </w:r>
            <w:r>
              <w:rPr>
                <w:noProof/>
                <w:webHidden/>
              </w:rPr>
              <w:fldChar w:fldCharType="separate"/>
            </w:r>
            <w:r>
              <w:rPr>
                <w:noProof/>
                <w:webHidden/>
              </w:rPr>
              <w:t>6</w:t>
            </w:r>
            <w:r>
              <w:rPr>
                <w:noProof/>
                <w:webHidden/>
              </w:rPr>
              <w:fldChar w:fldCharType="end"/>
            </w:r>
          </w:hyperlink>
        </w:p>
        <w:p w14:paraId="0F0C4738" w14:textId="51E8DEA8" w:rsidR="00CA59A6" w:rsidRDefault="00CA59A6">
          <w:pPr>
            <w:pStyle w:val="TOC3"/>
            <w:rPr>
              <w:rFonts w:eastAsiaTheme="minorEastAsia"/>
              <w:noProof/>
              <w:kern w:val="2"/>
              <w:sz w:val="24"/>
              <w:szCs w:val="24"/>
              <w:lang w:val="en-GB" w:eastAsia="en-GB"/>
              <w14:ligatures w14:val="standardContextual"/>
            </w:rPr>
          </w:pPr>
          <w:hyperlink w:anchor="_Toc182989094" w:history="1">
            <w:r w:rsidRPr="004D5A70">
              <w:rPr>
                <w:rStyle w:val="Hyperlink"/>
                <w:rFonts w:eastAsia="Calibri"/>
                <w:noProof/>
              </w:rPr>
              <w:t xml:space="preserve">Oral </w:t>
            </w:r>
            <w:r w:rsidRPr="004D5A70">
              <w:rPr>
                <w:rStyle w:val="Hyperlink"/>
                <w:noProof/>
              </w:rPr>
              <w:t>PrEP Effectiveness</w:t>
            </w:r>
            <w:r>
              <w:rPr>
                <w:noProof/>
                <w:webHidden/>
              </w:rPr>
              <w:tab/>
            </w:r>
            <w:r>
              <w:rPr>
                <w:noProof/>
                <w:webHidden/>
              </w:rPr>
              <w:fldChar w:fldCharType="begin"/>
            </w:r>
            <w:r>
              <w:rPr>
                <w:noProof/>
                <w:webHidden/>
              </w:rPr>
              <w:instrText xml:space="preserve"> PAGEREF _Toc182989094 \h </w:instrText>
            </w:r>
            <w:r>
              <w:rPr>
                <w:noProof/>
                <w:webHidden/>
              </w:rPr>
            </w:r>
            <w:r>
              <w:rPr>
                <w:noProof/>
                <w:webHidden/>
              </w:rPr>
              <w:fldChar w:fldCharType="separate"/>
            </w:r>
            <w:r>
              <w:rPr>
                <w:noProof/>
                <w:webHidden/>
              </w:rPr>
              <w:t>6</w:t>
            </w:r>
            <w:r>
              <w:rPr>
                <w:noProof/>
                <w:webHidden/>
              </w:rPr>
              <w:fldChar w:fldCharType="end"/>
            </w:r>
          </w:hyperlink>
        </w:p>
        <w:p w14:paraId="6514D75B" w14:textId="6B8AE794" w:rsidR="00CA59A6" w:rsidRDefault="00CA59A6">
          <w:pPr>
            <w:pStyle w:val="TOC3"/>
            <w:rPr>
              <w:rFonts w:eastAsiaTheme="minorEastAsia"/>
              <w:noProof/>
              <w:kern w:val="2"/>
              <w:sz w:val="24"/>
              <w:szCs w:val="24"/>
              <w:lang w:val="en-GB" w:eastAsia="en-GB"/>
              <w14:ligatures w14:val="standardContextual"/>
            </w:rPr>
          </w:pPr>
          <w:hyperlink w:anchor="_Toc182989095" w:history="1">
            <w:r w:rsidRPr="004D5A70">
              <w:rPr>
                <w:rStyle w:val="Hyperlink"/>
                <w:noProof/>
              </w:rPr>
              <w:t>Potential Side Effects of Oral PrEP</w:t>
            </w:r>
            <w:r>
              <w:rPr>
                <w:noProof/>
                <w:webHidden/>
              </w:rPr>
              <w:tab/>
            </w:r>
            <w:r>
              <w:rPr>
                <w:noProof/>
                <w:webHidden/>
              </w:rPr>
              <w:fldChar w:fldCharType="begin"/>
            </w:r>
            <w:r>
              <w:rPr>
                <w:noProof/>
                <w:webHidden/>
              </w:rPr>
              <w:instrText xml:space="preserve"> PAGEREF _Toc182989095 \h </w:instrText>
            </w:r>
            <w:r>
              <w:rPr>
                <w:noProof/>
                <w:webHidden/>
              </w:rPr>
            </w:r>
            <w:r>
              <w:rPr>
                <w:noProof/>
                <w:webHidden/>
              </w:rPr>
              <w:fldChar w:fldCharType="separate"/>
            </w:r>
            <w:r>
              <w:rPr>
                <w:noProof/>
                <w:webHidden/>
              </w:rPr>
              <w:t>6</w:t>
            </w:r>
            <w:r>
              <w:rPr>
                <w:noProof/>
                <w:webHidden/>
              </w:rPr>
              <w:fldChar w:fldCharType="end"/>
            </w:r>
          </w:hyperlink>
        </w:p>
        <w:p w14:paraId="6B9697BF" w14:textId="15C09ADD" w:rsidR="00CA59A6" w:rsidRDefault="00CA59A6">
          <w:pPr>
            <w:pStyle w:val="TOC3"/>
            <w:rPr>
              <w:rFonts w:eastAsiaTheme="minorEastAsia"/>
              <w:noProof/>
              <w:kern w:val="2"/>
              <w:sz w:val="24"/>
              <w:szCs w:val="24"/>
              <w:lang w:val="en-GB" w:eastAsia="en-GB"/>
              <w14:ligatures w14:val="standardContextual"/>
            </w:rPr>
          </w:pPr>
          <w:hyperlink w:anchor="_Toc182989096" w:history="1">
            <w:r w:rsidRPr="004D5A70">
              <w:rPr>
                <w:rStyle w:val="Hyperlink"/>
                <w:noProof/>
              </w:rPr>
              <w:t>Oral PrEP and Other Drug Interactions</w:t>
            </w:r>
            <w:r>
              <w:rPr>
                <w:noProof/>
                <w:webHidden/>
              </w:rPr>
              <w:tab/>
            </w:r>
            <w:r>
              <w:rPr>
                <w:noProof/>
                <w:webHidden/>
              </w:rPr>
              <w:fldChar w:fldCharType="begin"/>
            </w:r>
            <w:r>
              <w:rPr>
                <w:noProof/>
                <w:webHidden/>
              </w:rPr>
              <w:instrText xml:space="preserve"> PAGEREF _Toc182989096 \h </w:instrText>
            </w:r>
            <w:r>
              <w:rPr>
                <w:noProof/>
                <w:webHidden/>
              </w:rPr>
            </w:r>
            <w:r>
              <w:rPr>
                <w:noProof/>
                <w:webHidden/>
              </w:rPr>
              <w:fldChar w:fldCharType="separate"/>
            </w:r>
            <w:r>
              <w:rPr>
                <w:noProof/>
                <w:webHidden/>
              </w:rPr>
              <w:t>7</w:t>
            </w:r>
            <w:r>
              <w:rPr>
                <w:noProof/>
                <w:webHidden/>
              </w:rPr>
              <w:fldChar w:fldCharType="end"/>
            </w:r>
          </w:hyperlink>
        </w:p>
        <w:p w14:paraId="0B48647D" w14:textId="6D179449" w:rsidR="00CA59A6" w:rsidRDefault="00CA59A6">
          <w:pPr>
            <w:pStyle w:val="TOC3"/>
            <w:rPr>
              <w:rFonts w:eastAsiaTheme="minorEastAsia"/>
              <w:noProof/>
              <w:kern w:val="2"/>
              <w:sz w:val="24"/>
              <w:szCs w:val="24"/>
              <w:lang w:val="en-GB" w:eastAsia="en-GB"/>
              <w14:ligatures w14:val="standardContextual"/>
            </w:rPr>
          </w:pPr>
          <w:hyperlink w:anchor="_Toc182989097" w:history="1">
            <w:r w:rsidRPr="004D5A70">
              <w:rPr>
                <w:rStyle w:val="Hyperlink"/>
                <w:noProof/>
              </w:rPr>
              <w:t>Contraindications for Oral PrEP Use</w:t>
            </w:r>
            <w:r>
              <w:rPr>
                <w:noProof/>
                <w:webHidden/>
              </w:rPr>
              <w:tab/>
            </w:r>
            <w:r>
              <w:rPr>
                <w:noProof/>
                <w:webHidden/>
              </w:rPr>
              <w:fldChar w:fldCharType="begin"/>
            </w:r>
            <w:r>
              <w:rPr>
                <w:noProof/>
                <w:webHidden/>
              </w:rPr>
              <w:instrText xml:space="preserve"> PAGEREF _Toc182989097 \h </w:instrText>
            </w:r>
            <w:r>
              <w:rPr>
                <w:noProof/>
                <w:webHidden/>
              </w:rPr>
            </w:r>
            <w:r>
              <w:rPr>
                <w:noProof/>
                <w:webHidden/>
              </w:rPr>
              <w:fldChar w:fldCharType="separate"/>
            </w:r>
            <w:r>
              <w:rPr>
                <w:noProof/>
                <w:webHidden/>
              </w:rPr>
              <w:t>7</w:t>
            </w:r>
            <w:r>
              <w:rPr>
                <w:noProof/>
                <w:webHidden/>
              </w:rPr>
              <w:fldChar w:fldCharType="end"/>
            </w:r>
          </w:hyperlink>
        </w:p>
        <w:p w14:paraId="7343CAAD" w14:textId="3A7372BC" w:rsidR="00CA59A6" w:rsidRDefault="00CA59A6">
          <w:pPr>
            <w:pStyle w:val="TOC3"/>
            <w:rPr>
              <w:rFonts w:eastAsiaTheme="minorEastAsia"/>
              <w:noProof/>
              <w:kern w:val="2"/>
              <w:sz w:val="24"/>
              <w:szCs w:val="24"/>
              <w:lang w:val="en-GB" w:eastAsia="en-GB"/>
              <w14:ligatures w14:val="standardContextual"/>
            </w:rPr>
          </w:pPr>
          <w:hyperlink w:anchor="_Toc182989098" w:history="1">
            <w:r w:rsidRPr="004D5A70">
              <w:rPr>
                <w:rStyle w:val="Hyperlink"/>
                <w:noProof/>
              </w:rPr>
              <w:t>Oral PrEP Use</w:t>
            </w:r>
            <w:r>
              <w:rPr>
                <w:noProof/>
                <w:webHidden/>
              </w:rPr>
              <w:tab/>
            </w:r>
            <w:r>
              <w:rPr>
                <w:noProof/>
                <w:webHidden/>
              </w:rPr>
              <w:fldChar w:fldCharType="begin"/>
            </w:r>
            <w:r>
              <w:rPr>
                <w:noProof/>
                <w:webHidden/>
              </w:rPr>
              <w:instrText xml:space="preserve"> PAGEREF _Toc182989098 \h </w:instrText>
            </w:r>
            <w:r>
              <w:rPr>
                <w:noProof/>
                <w:webHidden/>
              </w:rPr>
            </w:r>
            <w:r>
              <w:rPr>
                <w:noProof/>
                <w:webHidden/>
              </w:rPr>
              <w:fldChar w:fldCharType="separate"/>
            </w:r>
            <w:r>
              <w:rPr>
                <w:noProof/>
                <w:webHidden/>
              </w:rPr>
              <w:t>7</w:t>
            </w:r>
            <w:r>
              <w:rPr>
                <w:noProof/>
                <w:webHidden/>
              </w:rPr>
              <w:fldChar w:fldCharType="end"/>
            </w:r>
          </w:hyperlink>
        </w:p>
        <w:p w14:paraId="0AC342B1" w14:textId="14FE4100"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099" w:history="1">
            <w:r w:rsidRPr="004D5A70">
              <w:rPr>
                <w:rStyle w:val="Hyperlink"/>
                <w:noProof/>
              </w:rPr>
              <w:t>Overview of the PrEP Ring</w:t>
            </w:r>
            <w:r>
              <w:rPr>
                <w:noProof/>
                <w:webHidden/>
              </w:rPr>
              <w:tab/>
            </w:r>
            <w:r>
              <w:rPr>
                <w:noProof/>
                <w:webHidden/>
              </w:rPr>
              <w:fldChar w:fldCharType="begin"/>
            </w:r>
            <w:r>
              <w:rPr>
                <w:noProof/>
                <w:webHidden/>
              </w:rPr>
              <w:instrText xml:space="preserve"> PAGEREF _Toc182989099 \h </w:instrText>
            </w:r>
            <w:r>
              <w:rPr>
                <w:noProof/>
                <w:webHidden/>
              </w:rPr>
            </w:r>
            <w:r>
              <w:rPr>
                <w:noProof/>
                <w:webHidden/>
              </w:rPr>
              <w:fldChar w:fldCharType="separate"/>
            </w:r>
            <w:r>
              <w:rPr>
                <w:noProof/>
                <w:webHidden/>
              </w:rPr>
              <w:t>9</w:t>
            </w:r>
            <w:r>
              <w:rPr>
                <w:noProof/>
                <w:webHidden/>
              </w:rPr>
              <w:fldChar w:fldCharType="end"/>
            </w:r>
          </w:hyperlink>
        </w:p>
        <w:p w14:paraId="7FE22CE1" w14:textId="343748DC" w:rsidR="00CA59A6" w:rsidRDefault="00CA59A6">
          <w:pPr>
            <w:pStyle w:val="TOC3"/>
            <w:rPr>
              <w:rFonts w:eastAsiaTheme="minorEastAsia"/>
              <w:noProof/>
              <w:kern w:val="2"/>
              <w:sz w:val="24"/>
              <w:szCs w:val="24"/>
              <w:lang w:val="en-GB" w:eastAsia="en-GB"/>
              <w14:ligatures w14:val="standardContextual"/>
            </w:rPr>
          </w:pPr>
          <w:hyperlink w:anchor="_Toc182989100" w:history="1">
            <w:r w:rsidRPr="004D5A70">
              <w:rPr>
                <w:rStyle w:val="Hyperlink"/>
                <w:noProof/>
              </w:rPr>
              <w:t>Formulation of the PrEP Ring</w:t>
            </w:r>
            <w:r>
              <w:rPr>
                <w:noProof/>
                <w:webHidden/>
              </w:rPr>
              <w:tab/>
            </w:r>
            <w:r>
              <w:rPr>
                <w:noProof/>
                <w:webHidden/>
              </w:rPr>
              <w:fldChar w:fldCharType="begin"/>
            </w:r>
            <w:r>
              <w:rPr>
                <w:noProof/>
                <w:webHidden/>
              </w:rPr>
              <w:instrText xml:space="preserve"> PAGEREF _Toc182989100 \h </w:instrText>
            </w:r>
            <w:r>
              <w:rPr>
                <w:noProof/>
                <w:webHidden/>
              </w:rPr>
            </w:r>
            <w:r>
              <w:rPr>
                <w:noProof/>
                <w:webHidden/>
              </w:rPr>
              <w:fldChar w:fldCharType="separate"/>
            </w:r>
            <w:r>
              <w:rPr>
                <w:noProof/>
                <w:webHidden/>
              </w:rPr>
              <w:t>10</w:t>
            </w:r>
            <w:r>
              <w:rPr>
                <w:noProof/>
                <w:webHidden/>
              </w:rPr>
              <w:fldChar w:fldCharType="end"/>
            </w:r>
          </w:hyperlink>
        </w:p>
        <w:p w14:paraId="22E0B6DD" w14:textId="3AA5034C" w:rsidR="00CA59A6" w:rsidRDefault="00CA59A6">
          <w:pPr>
            <w:pStyle w:val="TOC3"/>
            <w:rPr>
              <w:rFonts w:eastAsiaTheme="minorEastAsia"/>
              <w:noProof/>
              <w:kern w:val="2"/>
              <w:sz w:val="24"/>
              <w:szCs w:val="24"/>
              <w:lang w:val="en-GB" w:eastAsia="en-GB"/>
              <w14:ligatures w14:val="standardContextual"/>
            </w:rPr>
          </w:pPr>
          <w:hyperlink w:anchor="_Toc182989101" w:history="1">
            <w:r w:rsidRPr="004D5A70">
              <w:rPr>
                <w:rStyle w:val="Hyperlink"/>
                <w:noProof/>
              </w:rPr>
              <w:t>PrEP Ring Effectiveness</w:t>
            </w:r>
            <w:r>
              <w:rPr>
                <w:noProof/>
                <w:webHidden/>
              </w:rPr>
              <w:tab/>
            </w:r>
            <w:r>
              <w:rPr>
                <w:noProof/>
                <w:webHidden/>
              </w:rPr>
              <w:fldChar w:fldCharType="begin"/>
            </w:r>
            <w:r>
              <w:rPr>
                <w:noProof/>
                <w:webHidden/>
              </w:rPr>
              <w:instrText xml:space="preserve"> PAGEREF _Toc182989101 \h </w:instrText>
            </w:r>
            <w:r>
              <w:rPr>
                <w:noProof/>
                <w:webHidden/>
              </w:rPr>
            </w:r>
            <w:r>
              <w:rPr>
                <w:noProof/>
                <w:webHidden/>
              </w:rPr>
              <w:fldChar w:fldCharType="separate"/>
            </w:r>
            <w:r>
              <w:rPr>
                <w:noProof/>
                <w:webHidden/>
              </w:rPr>
              <w:t>10</w:t>
            </w:r>
            <w:r>
              <w:rPr>
                <w:noProof/>
                <w:webHidden/>
              </w:rPr>
              <w:fldChar w:fldCharType="end"/>
            </w:r>
          </w:hyperlink>
        </w:p>
        <w:p w14:paraId="21D41155" w14:textId="553BF7C0" w:rsidR="00CA59A6" w:rsidRDefault="00CA59A6">
          <w:pPr>
            <w:pStyle w:val="TOC3"/>
            <w:rPr>
              <w:rFonts w:eastAsiaTheme="minorEastAsia"/>
              <w:noProof/>
              <w:kern w:val="2"/>
              <w:sz w:val="24"/>
              <w:szCs w:val="24"/>
              <w:lang w:val="en-GB" w:eastAsia="en-GB"/>
              <w14:ligatures w14:val="standardContextual"/>
            </w:rPr>
          </w:pPr>
          <w:hyperlink w:anchor="_Toc182989102" w:history="1">
            <w:r w:rsidRPr="004D5A70">
              <w:rPr>
                <w:rStyle w:val="Hyperlink"/>
                <w:noProof/>
              </w:rPr>
              <w:t>Potential Side Effects of the PrEP Ring</w:t>
            </w:r>
            <w:r>
              <w:rPr>
                <w:noProof/>
                <w:webHidden/>
              </w:rPr>
              <w:tab/>
            </w:r>
            <w:r>
              <w:rPr>
                <w:noProof/>
                <w:webHidden/>
              </w:rPr>
              <w:fldChar w:fldCharType="begin"/>
            </w:r>
            <w:r>
              <w:rPr>
                <w:noProof/>
                <w:webHidden/>
              </w:rPr>
              <w:instrText xml:space="preserve"> PAGEREF _Toc182989102 \h </w:instrText>
            </w:r>
            <w:r>
              <w:rPr>
                <w:noProof/>
                <w:webHidden/>
              </w:rPr>
            </w:r>
            <w:r>
              <w:rPr>
                <w:noProof/>
                <w:webHidden/>
              </w:rPr>
              <w:fldChar w:fldCharType="separate"/>
            </w:r>
            <w:r>
              <w:rPr>
                <w:noProof/>
                <w:webHidden/>
              </w:rPr>
              <w:t>10</w:t>
            </w:r>
            <w:r>
              <w:rPr>
                <w:noProof/>
                <w:webHidden/>
              </w:rPr>
              <w:fldChar w:fldCharType="end"/>
            </w:r>
          </w:hyperlink>
        </w:p>
        <w:p w14:paraId="5FA9A392" w14:textId="652B6F6F" w:rsidR="00CA59A6" w:rsidRDefault="00CA59A6">
          <w:pPr>
            <w:pStyle w:val="TOC3"/>
            <w:rPr>
              <w:rFonts w:eastAsiaTheme="minorEastAsia"/>
              <w:noProof/>
              <w:kern w:val="2"/>
              <w:sz w:val="24"/>
              <w:szCs w:val="24"/>
              <w:lang w:val="en-GB" w:eastAsia="en-GB"/>
              <w14:ligatures w14:val="standardContextual"/>
            </w:rPr>
          </w:pPr>
          <w:hyperlink w:anchor="_Toc182989103" w:history="1">
            <w:r w:rsidRPr="004D5A70">
              <w:rPr>
                <w:rStyle w:val="Hyperlink"/>
                <w:noProof/>
              </w:rPr>
              <w:t>PrEP Ring and Other Drug Interactions</w:t>
            </w:r>
            <w:r>
              <w:rPr>
                <w:noProof/>
                <w:webHidden/>
              </w:rPr>
              <w:tab/>
            </w:r>
            <w:r>
              <w:rPr>
                <w:noProof/>
                <w:webHidden/>
              </w:rPr>
              <w:fldChar w:fldCharType="begin"/>
            </w:r>
            <w:r>
              <w:rPr>
                <w:noProof/>
                <w:webHidden/>
              </w:rPr>
              <w:instrText xml:space="preserve"> PAGEREF _Toc182989103 \h </w:instrText>
            </w:r>
            <w:r>
              <w:rPr>
                <w:noProof/>
                <w:webHidden/>
              </w:rPr>
            </w:r>
            <w:r>
              <w:rPr>
                <w:noProof/>
                <w:webHidden/>
              </w:rPr>
              <w:fldChar w:fldCharType="separate"/>
            </w:r>
            <w:r>
              <w:rPr>
                <w:noProof/>
                <w:webHidden/>
              </w:rPr>
              <w:t>11</w:t>
            </w:r>
            <w:r>
              <w:rPr>
                <w:noProof/>
                <w:webHidden/>
              </w:rPr>
              <w:fldChar w:fldCharType="end"/>
            </w:r>
          </w:hyperlink>
        </w:p>
        <w:p w14:paraId="09F51300" w14:textId="71DA2C42" w:rsidR="00CA59A6" w:rsidRDefault="00CA59A6">
          <w:pPr>
            <w:pStyle w:val="TOC3"/>
            <w:rPr>
              <w:rFonts w:eastAsiaTheme="minorEastAsia"/>
              <w:noProof/>
              <w:kern w:val="2"/>
              <w:sz w:val="24"/>
              <w:szCs w:val="24"/>
              <w:lang w:val="en-GB" w:eastAsia="en-GB"/>
              <w14:ligatures w14:val="standardContextual"/>
            </w:rPr>
          </w:pPr>
          <w:hyperlink w:anchor="_Toc182989104" w:history="1">
            <w:r w:rsidRPr="004D5A70">
              <w:rPr>
                <w:rStyle w:val="Hyperlink"/>
                <w:noProof/>
              </w:rPr>
              <w:t>Contraindications for PrEP Ring Use</w:t>
            </w:r>
            <w:r>
              <w:rPr>
                <w:noProof/>
                <w:webHidden/>
              </w:rPr>
              <w:tab/>
            </w:r>
            <w:r>
              <w:rPr>
                <w:noProof/>
                <w:webHidden/>
              </w:rPr>
              <w:fldChar w:fldCharType="begin"/>
            </w:r>
            <w:r>
              <w:rPr>
                <w:noProof/>
                <w:webHidden/>
              </w:rPr>
              <w:instrText xml:space="preserve"> PAGEREF _Toc182989104 \h </w:instrText>
            </w:r>
            <w:r>
              <w:rPr>
                <w:noProof/>
                <w:webHidden/>
              </w:rPr>
            </w:r>
            <w:r>
              <w:rPr>
                <w:noProof/>
                <w:webHidden/>
              </w:rPr>
              <w:fldChar w:fldCharType="separate"/>
            </w:r>
            <w:r>
              <w:rPr>
                <w:noProof/>
                <w:webHidden/>
              </w:rPr>
              <w:t>11</w:t>
            </w:r>
            <w:r>
              <w:rPr>
                <w:noProof/>
                <w:webHidden/>
              </w:rPr>
              <w:fldChar w:fldCharType="end"/>
            </w:r>
          </w:hyperlink>
        </w:p>
        <w:p w14:paraId="19E69D40" w14:textId="0BF72CC2" w:rsidR="00CA59A6" w:rsidRDefault="00CA59A6">
          <w:pPr>
            <w:pStyle w:val="TOC3"/>
            <w:rPr>
              <w:rFonts w:eastAsiaTheme="minorEastAsia"/>
              <w:noProof/>
              <w:kern w:val="2"/>
              <w:sz w:val="24"/>
              <w:szCs w:val="24"/>
              <w:lang w:val="en-GB" w:eastAsia="en-GB"/>
              <w14:ligatures w14:val="standardContextual"/>
            </w:rPr>
          </w:pPr>
          <w:hyperlink w:anchor="_Toc182989105" w:history="1">
            <w:r w:rsidRPr="004D5A70">
              <w:rPr>
                <w:rStyle w:val="Hyperlink"/>
                <w:noProof/>
              </w:rPr>
              <w:t>PrEP Ring Use</w:t>
            </w:r>
            <w:r>
              <w:rPr>
                <w:noProof/>
                <w:webHidden/>
              </w:rPr>
              <w:tab/>
            </w:r>
            <w:r>
              <w:rPr>
                <w:noProof/>
                <w:webHidden/>
              </w:rPr>
              <w:fldChar w:fldCharType="begin"/>
            </w:r>
            <w:r>
              <w:rPr>
                <w:noProof/>
                <w:webHidden/>
              </w:rPr>
              <w:instrText xml:space="preserve"> PAGEREF _Toc182989105 \h </w:instrText>
            </w:r>
            <w:r>
              <w:rPr>
                <w:noProof/>
                <w:webHidden/>
              </w:rPr>
            </w:r>
            <w:r>
              <w:rPr>
                <w:noProof/>
                <w:webHidden/>
              </w:rPr>
              <w:fldChar w:fldCharType="separate"/>
            </w:r>
            <w:r>
              <w:rPr>
                <w:noProof/>
                <w:webHidden/>
              </w:rPr>
              <w:t>11</w:t>
            </w:r>
            <w:r>
              <w:rPr>
                <w:noProof/>
                <w:webHidden/>
              </w:rPr>
              <w:fldChar w:fldCharType="end"/>
            </w:r>
          </w:hyperlink>
        </w:p>
        <w:p w14:paraId="3F2B6735" w14:textId="1F3D19F7" w:rsidR="00CA59A6" w:rsidRDefault="00CA59A6">
          <w:pPr>
            <w:pStyle w:val="TOC4"/>
            <w:rPr>
              <w:rFonts w:eastAsiaTheme="minorEastAsia"/>
              <w:noProof/>
              <w:kern w:val="2"/>
              <w:sz w:val="24"/>
              <w:szCs w:val="24"/>
              <w:lang w:val="en-GB" w:eastAsia="en-GB"/>
              <w14:ligatures w14:val="standardContextual"/>
            </w:rPr>
          </w:pPr>
          <w:hyperlink w:anchor="_Toc182989106" w:history="1">
            <w:r w:rsidRPr="004D5A70">
              <w:rPr>
                <w:rStyle w:val="Hyperlink"/>
                <w:noProof/>
              </w:rPr>
              <w:t>Inserting the PrEP Ring</w:t>
            </w:r>
            <w:r>
              <w:rPr>
                <w:noProof/>
                <w:webHidden/>
              </w:rPr>
              <w:tab/>
            </w:r>
            <w:r>
              <w:rPr>
                <w:noProof/>
                <w:webHidden/>
              </w:rPr>
              <w:fldChar w:fldCharType="begin"/>
            </w:r>
            <w:r>
              <w:rPr>
                <w:noProof/>
                <w:webHidden/>
              </w:rPr>
              <w:instrText xml:space="preserve"> PAGEREF _Toc182989106 \h </w:instrText>
            </w:r>
            <w:r>
              <w:rPr>
                <w:noProof/>
                <w:webHidden/>
              </w:rPr>
            </w:r>
            <w:r>
              <w:rPr>
                <w:noProof/>
                <w:webHidden/>
              </w:rPr>
              <w:fldChar w:fldCharType="separate"/>
            </w:r>
            <w:r>
              <w:rPr>
                <w:noProof/>
                <w:webHidden/>
              </w:rPr>
              <w:t>12</w:t>
            </w:r>
            <w:r>
              <w:rPr>
                <w:noProof/>
                <w:webHidden/>
              </w:rPr>
              <w:fldChar w:fldCharType="end"/>
            </w:r>
          </w:hyperlink>
        </w:p>
        <w:p w14:paraId="7F23369D" w14:textId="7E2DF8F2" w:rsidR="00CA59A6" w:rsidRDefault="00CA59A6">
          <w:pPr>
            <w:pStyle w:val="TOC4"/>
            <w:rPr>
              <w:rFonts w:eastAsiaTheme="minorEastAsia"/>
              <w:noProof/>
              <w:kern w:val="2"/>
              <w:sz w:val="24"/>
              <w:szCs w:val="24"/>
              <w:lang w:val="en-GB" w:eastAsia="en-GB"/>
              <w14:ligatures w14:val="standardContextual"/>
            </w:rPr>
          </w:pPr>
          <w:hyperlink w:anchor="_Toc182989107" w:history="1">
            <w:r w:rsidRPr="004D5A70">
              <w:rPr>
                <w:rStyle w:val="Hyperlink"/>
                <w:noProof/>
              </w:rPr>
              <w:t>Removing the PrEP Ring</w:t>
            </w:r>
            <w:r>
              <w:rPr>
                <w:noProof/>
                <w:webHidden/>
              </w:rPr>
              <w:tab/>
            </w:r>
            <w:r>
              <w:rPr>
                <w:noProof/>
                <w:webHidden/>
              </w:rPr>
              <w:fldChar w:fldCharType="begin"/>
            </w:r>
            <w:r>
              <w:rPr>
                <w:noProof/>
                <w:webHidden/>
              </w:rPr>
              <w:instrText xml:space="preserve"> PAGEREF _Toc182989107 \h </w:instrText>
            </w:r>
            <w:r>
              <w:rPr>
                <w:noProof/>
                <w:webHidden/>
              </w:rPr>
            </w:r>
            <w:r>
              <w:rPr>
                <w:noProof/>
                <w:webHidden/>
              </w:rPr>
              <w:fldChar w:fldCharType="separate"/>
            </w:r>
            <w:r>
              <w:rPr>
                <w:noProof/>
                <w:webHidden/>
              </w:rPr>
              <w:t>12</w:t>
            </w:r>
            <w:r>
              <w:rPr>
                <w:noProof/>
                <w:webHidden/>
              </w:rPr>
              <w:fldChar w:fldCharType="end"/>
            </w:r>
          </w:hyperlink>
        </w:p>
        <w:p w14:paraId="04F3277D" w14:textId="06800487"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08" w:history="1">
            <w:r w:rsidRPr="004D5A70">
              <w:rPr>
                <w:rStyle w:val="Hyperlink"/>
                <w:rFonts w:cstheme="minorHAnsi"/>
                <w:noProof/>
              </w:rPr>
              <w:t>Overview of CAB PrEP</w:t>
            </w:r>
            <w:r>
              <w:rPr>
                <w:noProof/>
                <w:webHidden/>
              </w:rPr>
              <w:tab/>
            </w:r>
            <w:r>
              <w:rPr>
                <w:noProof/>
                <w:webHidden/>
              </w:rPr>
              <w:fldChar w:fldCharType="begin"/>
            </w:r>
            <w:r>
              <w:rPr>
                <w:noProof/>
                <w:webHidden/>
              </w:rPr>
              <w:instrText xml:space="preserve"> PAGEREF _Toc182989108 \h </w:instrText>
            </w:r>
            <w:r>
              <w:rPr>
                <w:noProof/>
                <w:webHidden/>
              </w:rPr>
            </w:r>
            <w:r>
              <w:rPr>
                <w:noProof/>
                <w:webHidden/>
              </w:rPr>
              <w:fldChar w:fldCharType="separate"/>
            </w:r>
            <w:r>
              <w:rPr>
                <w:noProof/>
                <w:webHidden/>
              </w:rPr>
              <w:t>13</w:t>
            </w:r>
            <w:r>
              <w:rPr>
                <w:noProof/>
                <w:webHidden/>
              </w:rPr>
              <w:fldChar w:fldCharType="end"/>
            </w:r>
          </w:hyperlink>
        </w:p>
        <w:p w14:paraId="7F3EA306" w14:textId="4F550A82" w:rsidR="00CA59A6" w:rsidRDefault="00CA59A6">
          <w:pPr>
            <w:pStyle w:val="TOC3"/>
            <w:rPr>
              <w:rFonts w:eastAsiaTheme="minorEastAsia"/>
              <w:noProof/>
              <w:kern w:val="2"/>
              <w:sz w:val="24"/>
              <w:szCs w:val="24"/>
              <w:lang w:val="en-GB" w:eastAsia="en-GB"/>
              <w14:ligatures w14:val="standardContextual"/>
            </w:rPr>
          </w:pPr>
          <w:hyperlink w:anchor="_Toc182989109" w:history="1">
            <w:r w:rsidRPr="004D5A70">
              <w:rPr>
                <w:rStyle w:val="Hyperlink"/>
                <w:rFonts w:cstheme="minorHAnsi"/>
                <w:noProof/>
              </w:rPr>
              <w:t>Formulation of CAB PrEP</w:t>
            </w:r>
            <w:r>
              <w:rPr>
                <w:noProof/>
                <w:webHidden/>
              </w:rPr>
              <w:tab/>
            </w:r>
            <w:r>
              <w:rPr>
                <w:noProof/>
                <w:webHidden/>
              </w:rPr>
              <w:fldChar w:fldCharType="begin"/>
            </w:r>
            <w:r>
              <w:rPr>
                <w:noProof/>
                <w:webHidden/>
              </w:rPr>
              <w:instrText xml:space="preserve"> PAGEREF _Toc182989109 \h </w:instrText>
            </w:r>
            <w:r>
              <w:rPr>
                <w:noProof/>
                <w:webHidden/>
              </w:rPr>
            </w:r>
            <w:r>
              <w:rPr>
                <w:noProof/>
                <w:webHidden/>
              </w:rPr>
              <w:fldChar w:fldCharType="separate"/>
            </w:r>
            <w:r>
              <w:rPr>
                <w:noProof/>
                <w:webHidden/>
              </w:rPr>
              <w:t>13</w:t>
            </w:r>
            <w:r>
              <w:rPr>
                <w:noProof/>
                <w:webHidden/>
              </w:rPr>
              <w:fldChar w:fldCharType="end"/>
            </w:r>
          </w:hyperlink>
        </w:p>
        <w:p w14:paraId="21011B5C" w14:textId="3747D50A" w:rsidR="00CA59A6" w:rsidRDefault="00CA59A6">
          <w:pPr>
            <w:pStyle w:val="TOC3"/>
            <w:rPr>
              <w:rFonts w:eastAsiaTheme="minorEastAsia"/>
              <w:noProof/>
              <w:kern w:val="2"/>
              <w:sz w:val="24"/>
              <w:szCs w:val="24"/>
              <w:lang w:val="en-GB" w:eastAsia="en-GB"/>
              <w14:ligatures w14:val="standardContextual"/>
            </w:rPr>
          </w:pPr>
          <w:hyperlink w:anchor="_Toc182989110" w:history="1">
            <w:r w:rsidRPr="004D5A70">
              <w:rPr>
                <w:rStyle w:val="Hyperlink"/>
                <w:rFonts w:cstheme="minorHAnsi"/>
                <w:noProof/>
              </w:rPr>
              <w:t>CAB PrEP Effectiveness</w:t>
            </w:r>
            <w:r>
              <w:rPr>
                <w:noProof/>
                <w:webHidden/>
              </w:rPr>
              <w:tab/>
            </w:r>
            <w:r>
              <w:rPr>
                <w:noProof/>
                <w:webHidden/>
              </w:rPr>
              <w:fldChar w:fldCharType="begin"/>
            </w:r>
            <w:r>
              <w:rPr>
                <w:noProof/>
                <w:webHidden/>
              </w:rPr>
              <w:instrText xml:space="preserve"> PAGEREF _Toc182989110 \h </w:instrText>
            </w:r>
            <w:r>
              <w:rPr>
                <w:noProof/>
                <w:webHidden/>
              </w:rPr>
            </w:r>
            <w:r>
              <w:rPr>
                <w:noProof/>
                <w:webHidden/>
              </w:rPr>
              <w:fldChar w:fldCharType="separate"/>
            </w:r>
            <w:r>
              <w:rPr>
                <w:noProof/>
                <w:webHidden/>
              </w:rPr>
              <w:t>13</w:t>
            </w:r>
            <w:r>
              <w:rPr>
                <w:noProof/>
                <w:webHidden/>
              </w:rPr>
              <w:fldChar w:fldCharType="end"/>
            </w:r>
          </w:hyperlink>
        </w:p>
        <w:p w14:paraId="42836DC4" w14:textId="264D1FE3" w:rsidR="00CA59A6" w:rsidRDefault="00CA59A6">
          <w:pPr>
            <w:pStyle w:val="TOC3"/>
            <w:rPr>
              <w:rFonts w:eastAsiaTheme="minorEastAsia"/>
              <w:noProof/>
              <w:kern w:val="2"/>
              <w:sz w:val="24"/>
              <w:szCs w:val="24"/>
              <w:lang w:val="en-GB" w:eastAsia="en-GB"/>
              <w14:ligatures w14:val="standardContextual"/>
            </w:rPr>
          </w:pPr>
          <w:hyperlink w:anchor="_Toc182989111" w:history="1">
            <w:r w:rsidRPr="004D5A70">
              <w:rPr>
                <w:rStyle w:val="Hyperlink"/>
                <w:rFonts w:cstheme="minorHAnsi"/>
                <w:noProof/>
              </w:rPr>
              <w:t>Potential Side Effects of CAB PrEP</w:t>
            </w:r>
            <w:r>
              <w:rPr>
                <w:noProof/>
                <w:webHidden/>
              </w:rPr>
              <w:tab/>
            </w:r>
            <w:r>
              <w:rPr>
                <w:noProof/>
                <w:webHidden/>
              </w:rPr>
              <w:fldChar w:fldCharType="begin"/>
            </w:r>
            <w:r>
              <w:rPr>
                <w:noProof/>
                <w:webHidden/>
              </w:rPr>
              <w:instrText xml:space="preserve"> PAGEREF _Toc182989111 \h </w:instrText>
            </w:r>
            <w:r>
              <w:rPr>
                <w:noProof/>
                <w:webHidden/>
              </w:rPr>
            </w:r>
            <w:r>
              <w:rPr>
                <w:noProof/>
                <w:webHidden/>
              </w:rPr>
              <w:fldChar w:fldCharType="separate"/>
            </w:r>
            <w:r>
              <w:rPr>
                <w:noProof/>
                <w:webHidden/>
              </w:rPr>
              <w:t>13</w:t>
            </w:r>
            <w:r>
              <w:rPr>
                <w:noProof/>
                <w:webHidden/>
              </w:rPr>
              <w:fldChar w:fldCharType="end"/>
            </w:r>
          </w:hyperlink>
        </w:p>
        <w:p w14:paraId="4716CDC5" w14:textId="0E00E523" w:rsidR="00CA59A6" w:rsidRDefault="00CA59A6">
          <w:pPr>
            <w:pStyle w:val="TOC3"/>
            <w:rPr>
              <w:rFonts w:eastAsiaTheme="minorEastAsia"/>
              <w:noProof/>
              <w:kern w:val="2"/>
              <w:sz w:val="24"/>
              <w:szCs w:val="24"/>
              <w:lang w:val="en-GB" w:eastAsia="en-GB"/>
              <w14:ligatures w14:val="standardContextual"/>
            </w:rPr>
          </w:pPr>
          <w:hyperlink w:anchor="_Toc182989112" w:history="1">
            <w:r w:rsidRPr="004D5A70">
              <w:rPr>
                <w:rStyle w:val="Hyperlink"/>
                <w:rFonts w:cstheme="minorHAnsi"/>
                <w:noProof/>
              </w:rPr>
              <w:t>CAB PrEP and Other Drug Interactions</w:t>
            </w:r>
            <w:r>
              <w:rPr>
                <w:noProof/>
                <w:webHidden/>
              </w:rPr>
              <w:tab/>
            </w:r>
            <w:r>
              <w:rPr>
                <w:noProof/>
                <w:webHidden/>
              </w:rPr>
              <w:fldChar w:fldCharType="begin"/>
            </w:r>
            <w:r>
              <w:rPr>
                <w:noProof/>
                <w:webHidden/>
              </w:rPr>
              <w:instrText xml:space="preserve"> PAGEREF _Toc182989112 \h </w:instrText>
            </w:r>
            <w:r>
              <w:rPr>
                <w:noProof/>
                <w:webHidden/>
              </w:rPr>
            </w:r>
            <w:r>
              <w:rPr>
                <w:noProof/>
                <w:webHidden/>
              </w:rPr>
              <w:fldChar w:fldCharType="separate"/>
            </w:r>
            <w:r>
              <w:rPr>
                <w:noProof/>
                <w:webHidden/>
              </w:rPr>
              <w:t>14</w:t>
            </w:r>
            <w:r>
              <w:rPr>
                <w:noProof/>
                <w:webHidden/>
              </w:rPr>
              <w:fldChar w:fldCharType="end"/>
            </w:r>
          </w:hyperlink>
        </w:p>
        <w:p w14:paraId="50E0E90A" w14:textId="59896A75" w:rsidR="00CA59A6" w:rsidRDefault="00CA59A6">
          <w:pPr>
            <w:pStyle w:val="TOC3"/>
            <w:rPr>
              <w:rFonts w:eastAsiaTheme="minorEastAsia"/>
              <w:noProof/>
              <w:kern w:val="2"/>
              <w:sz w:val="24"/>
              <w:szCs w:val="24"/>
              <w:lang w:val="en-GB" w:eastAsia="en-GB"/>
              <w14:ligatures w14:val="standardContextual"/>
            </w:rPr>
          </w:pPr>
          <w:hyperlink w:anchor="_Toc182989113" w:history="1">
            <w:r w:rsidRPr="004D5A70">
              <w:rPr>
                <w:rStyle w:val="Hyperlink"/>
                <w:rFonts w:cstheme="minorHAnsi"/>
                <w:noProof/>
              </w:rPr>
              <w:t>Contraindications for CAB PrEP Use</w:t>
            </w:r>
            <w:r>
              <w:rPr>
                <w:noProof/>
                <w:webHidden/>
              </w:rPr>
              <w:tab/>
            </w:r>
            <w:r>
              <w:rPr>
                <w:noProof/>
                <w:webHidden/>
              </w:rPr>
              <w:fldChar w:fldCharType="begin"/>
            </w:r>
            <w:r>
              <w:rPr>
                <w:noProof/>
                <w:webHidden/>
              </w:rPr>
              <w:instrText xml:space="preserve"> PAGEREF _Toc182989113 \h </w:instrText>
            </w:r>
            <w:r>
              <w:rPr>
                <w:noProof/>
                <w:webHidden/>
              </w:rPr>
            </w:r>
            <w:r>
              <w:rPr>
                <w:noProof/>
                <w:webHidden/>
              </w:rPr>
              <w:fldChar w:fldCharType="separate"/>
            </w:r>
            <w:r>
              <w:rPr>
                <w:noProof/>
                <w:webHidden/>
              </w:rPr>
              <w:t>15</w:t>
            </w:r>
            <w:r>
              <w:rPr>
                <w:noProof/>
                <w:webHidden/>
              </w:rPr>
              <w:fldChar w:fldCharType="end"/>
            </w:r>
          </w:hyperlink>
        </w:p>
        <w:p w14:paraId="5F5902BE" w14:textId="0B73FC7A" w:rsidR="00CA59A6" w:rsidRDefault="00CA59A6">
          <w:pPr>
            <w:pStyle w:val="TOC3"/>
            <w:rPr>
              <w:rFonts w:eastAsiaTheme="minorEastAsia"/>
              <w:noProof/>
              <w:kern w:val="2"/>
              <w:sz w:val="24"/>
              <w:szCs w:val="24"/>
              <w:lang w:val="en-GB" w:eastAsia="en-GB"/>
              <w14:ligatures w14:val="standardContextual"/>
            </w:rPr>
          </w:pPr>
          <w:hyperlink w:anchor="_Toc182989114" w:history="1">
            <w:r w:rsidRPr="004D5A70">
              <w:rPr>
                <w:rStyle w:val="Hyperlink"/>
                <w:rFonts w:cstheme="minorHAnsi"/>
                <w:noProof/>
              </w:rPr>
              <w:t>CAB PrEP Use</w:t>
            </w:r>
            <w:r>
              <w:rPr>
                <w:noProof/>
                <w:webHidden/>
              </w:rPr>
              <w:tab/>
            </w:r>
            <w:r>
              <w:rPr>
                <w:noProof/>
                <w:webHidden/>
              </w:rPr>
              <w:fldChar w:fldCharType="begin"/>
            </w:r>
            <w:r>
              <w:rPr>
                <w:noProof/>
                <w:webHidden/>
              </w:rPr>
              <w:instrText xml:space="preserve"> PAGEREF _Toc182989114 \h </w:instrText>
            </w:r>
            <w:r>
              <w:rPr>
                <w:noProof/>
                <w:webHidden/>
              </w:rPr>
            </w:r>
            <w:r>
              <w:rPr>
                <w:noProof/>
                <w:webHidden/>
              </w:rPr>
              <w:fldChar w:fldCharType="separate"/>
            </w:r>
            <w:r>
              <w:rPr>
                <w:noProof/>
                <w:webHidden/>
              </w:rPr>
              <w:t>15</w:t>
            </w:r>
            <w:r>
              <w:rPr>
                <w:noProof/>
                <w:webHidden/>
              </w:rPr>
              <w:fldChar w:fldCharType="end"/>
            </w:r>
          </w:hyperlink>
        </w:p>
        <w:p w14:paraId="74CB1241" w14:textId="2EFACB95" w:rsidR="00CA59A6" w:rsidRDefault="00CA59A6">
          <w:pPr>
            <w:pStyle w:val="TOC4"/>
            <w:rPr>
              <w:rFonts w:eastAsiaTheme="minorEastAsia"/>
              <w:noProof/>
              <w:kern w:val="2"/>
              <w:sz w:val="24"/>
              <w:szCs w:val="24"/>
              <w:lang w:val="en-GB" w:eastAsia="en-GB"/>
              <w14:ligatures w14:val="standardContextual"/>
            </w:rPr>
          </w:pPr>
          <w:hyperlink w:anchor="_Toc182989115" w:history="1">
            <w:r w:rsidRPr="004D5A70">
              <w:rPr>
                <w:rStyle w:val="Hyperlink"/>
                <w:rFonts w:cstheme="minorHAnsi"/>
                <w:noProof/>
              </w:rPr>
              <w:t>Starting CAB PrEP</w:t>
            </w:r>
            <w:r>
              <w:rPr>
                <w:noProof/>
                <w:webHidden/>
              </w:rPr>
              <w:tab/>
            </w:r>
            <w:r>
              <w:rPr>
                <w:noProof/>
                <w:webHidden/>
              </w:rPr>
              <w:fldChar w:fldCharType="begin"/>
            </w:r>
            <w:r>
              <w:rPr>
                <w:noProof/>
                <w:webHidden/>
              </w:rPr>
              <w:instrText xml:space="preserve"> PAGEREF _Toc182989115 \h </w:instrText>
            </w:r>
            <w:r>
              <w:rPr>
                <w:noProof/>
                <w:webHidden/>
              </w:rPr>
            </w:r>
            <w:r>
              <w:rPr>
                <w:noProof/>
                <w:webHidden/>
              </w:rPr>
              <w:fldChar w:fldCharType="separate"/>
            </w:r>
            <w:r>
              <w:rPr>
                <w:noProof/>
                <w:webHidden/>
              </w:rPr>
              <w:t>15</w:t>
            </w:r>
            <w:r>
              <w:rPr>
                <w:noProof/>
                <w:webHidden/>
              </w:rPr>
              <w:fldChar w:fldCharType="end"/>
            </w:r>
          </w:hyperlink>
        </w:p>
        <w:p w14:paraId="2D8842A6" w14:textId="121D8FA0" w:rsidR="00CA59A6" w:rsidRDefault="00CA59A6">
          <w:pPr>
            <w:pStyle w:val="TOC4"/>
            <w:rPr>
              <w:rFonts w:eastAsiaTheme="minorEastAsia"/>
              <w:noProof/>
              <w:kern w:val="2"/>
              <w:sz w:val="24"/>
              <w:szCs w:val="24"/>
              <w:lang w:val="en-GB" w:eastAsia="en-GB"/>
              <w14:ligatures w14:val="standardContextual"/>
            </w:rPr>
          </w:pPr>
          <w:hyperlink w:anchor="_Toc182989116" w:history="1">
            <w:r w:rsidRPr="004D5A70">
              <w:rPr>
                <w:rStyle w:val="Hyperlink"/>
                <w:rFonts w:cstheme="minorHAnsi"/>
                <w:noProof/>
              </w:rPr>
              <w:t>Stopping CAB PrEP</w:t>
            </w:r>
            <w:r>
              <w:rPr>
                <w:noProof/>
                <w:webHidden/>
              </w:rPr>
              <w:tab/>
            </w:r>
            <w:r>
              <w:rPr>
                <w:noProof/>
                <w:webHidden/>
              </w:rPr>
              <w:fldChar w:fldCharType="begin"/>
            </w:r>
            <w:r>
              <w:rPr>
                <w:noProof/>
                <w:webHidden/>
              </w:rPr>
              <w:instrText xml:space="preserve"> PAGEREF _Toc182989116 \h </w:instrText>
            </w:r>
            <w:r>
              <w:rPr>
                <w:noProof/>
                <w:webHidden/>
              </w:rPr>
            </w:r>
            <w:r>
              <w:rPr>
                <w:noProof/>
                <w:webHidden/>
              </w:rPr>
              <w:fldChar w:fldCharType="separate"/>
            </w:r>
            <w:r>
              <w:rPr>
                <w:noProof/>
                <w:webHidden/>
              </w:rPr>
              <w:t>15</w:t>
            </w:r>
            <w:r>
              <w:rPr>
                <w:noProof/>
                <w:webHidden/>
              </w:rPr>
              <w:fldChar w:fldCharType="end"/>
            </w:r>
          </w:hyperlink>
        </w:p>
        <w:p w14:paraId="5F7197AB" w14:textId="4B816EFD" w:rsidR="00CA59A6" w:rsidRDefault="00CA59A6">
          <w:pPr>
            <w:pStyle w:val="TOC4"/>
            <w:rPr>
              <w:rFonts w:eastAsiaTheme="minorEastAsia"/>
              <w:noProof/>
              <w:kern w:val="2"/>
              <w:sz w:val="24"/>
              <w:szCs w:val="24"/>
              <w:lang w:val="en-GB" w:eastAsia="en-GB"/>
              <w14:ligatures w14:val="standardContextual"/>
            </w:rPr>
          </w:pPr>
          <w:hyperlink w:anchor="_Toc182989117" w:history="1">
            <w:r w:rsidRPr="004D5A70">
              <w:rPr>
                <w:rStyle w:val="Hyperlink"/>
                <w:rFonts w:cstheme="minorHAnsi"/>
                <w:noProof/>
              </w:rPr>
              <w:t>Missing an Injection</w:t>
            </w:r>
            <w:r>
              <w:rPr>
                <w:noProof/>
                <w:webHidden/>
              </w:rPr>
              <w:tab/>
            </w:r>
            <w:r>
              <w:rPr>
                <w:noProof/>
                <w:webHidden/>
              </w:rPr>
              <w:fldChar w:fldCharType="begin"/>
            </w:r>
            <w:r>
              <w:rPr>
                <w:noProof/>
                <w:webHidden/>
              </w:rPr>
              <w:instrText xml:space="preserve"> PAGEREF _Toc182989117 \h </w:instrText>
            </w:r>
            <w:r>
              <w:rPr>
                <w:noProof/>
                <w:webHidden/>
              </w:rPr>
            </w:r>
            <w:r>
              <w:rPr>
                <w:noProof/>
                <w:webHidden/>
              </w:rPr>
              <w:fldChar w:fldCharType="separate"/>
            </w:r>
            <w:r>
              <w:rPr>
                <w:noProof/>
                <w:webHidden/>
              </w:rPr>
              <w:t>16</w:t>
            </w:r>
            <w:r>
              <w:rPr>
                <w:noProof/>
                <w:webHidden/>
              </w:rPr>
              <w:fldChar w:fldCharType="end"/>
            </w:r>
          </w:hyperlink>
        </w:p>
        <w:p w14:paraId="23D47242" w14:textId="72632381" w:rsidR="00CA59A6" w:rsidRDefault="00CA59A6">
          <w:pPr>
            <w:pStyle w:val="TOC4"/>
            <w:rPr>
              <w:rFonts w:eastAsiaTheme="minorEastAsia"/>
              <w:noProof/>
              <w:kern w:val="2"/>
              <w:sz w:val="24"/>
              <w:szCs w:val="24"/>
              <w:lang w:val="en-GB" w:eastAsia="en-GB"/>
              <w14:ligatures w14:val="standardContextual"/>
            </w:rPr>
          </w:pPr>
          <w:hyperlink w:anchor="_Toc182989118" w:history="1">
            <w:r w:rsidRPr="004D5A70">
              <w:rPr>
                <w:rStyle w:val="Hyperlink"/>
                <w:rFonts w:cstheme="minorHAnsi"/>
                <w:noProof/>
              </w:rPr>
              <w:t>Restarting CAB PrEP</w:t>
            </w:r>
            <w:r>
              <w:rPr>
                <w:noProof/>
                <w:webHidden/>
              </w:rPr>
              <w:tab/>
            </w:r>
            <w:r>
              <w:rPr>
                <w:noProof/>
                <w:webHidden/>
              </w:rPr>
              <w:fldChar w:fldCharType="begin"/>
            </w:r>
            <w:r>
              <w:rPr>
                <w:noProof/>
                <w:webHidden/>
              </w:rPr>
              <w:instrText xml:space="preserve"> PAGEREF _Toc182989118 \h </w:instrText>
            </w:r>
            <w:r>
              <w:rPr>
                <w:noProof/>
                <w:webHidden/>
              </w:rPr>
            </w:r>
            <w:r>
              <w:rPr>
                <w:noProof/>
                <w:webHidden/>
              </w:rPr>
              <w:fldChar w:fldCharType="separate"/>
            </w:r>
            <w:r>
              <w:rPr>
                <w:noProof/>
                <w:webHidden/>
              </w:rPr>
              <w:t>17</w:t>
            </w:r>
            <w:r>
              <w:rPr>
                <w:noProof/>
                <w:webHidden/>
              </w:rPr>
              <w:fldChar w:fldCharType="end"/>
            </w:r>
          </w:hyperlink>
        </w:p>
        <w:p w14:paraId="28302079" w14:textId="26E3B447"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19" w:history="1">
            <w:r w:rsidRPr="004D5A70">
              <w:rPr>
                <w:rStyle w:val="Hyperlink"/>
                <w:rFonts w:cstheme="minorHAnsi"/>
                <w:noProof/>
              </w:rPr>
              <w:t>Switching Between PrEP Methods and Simultaneous Use</w:t>
            </w:r>
            <w:r>
              <w:rPr>
                <w:noProof/>
                <w:webHidden/>
              </w:rPr>
              <w:tab/>
            </w:r>
            <w:r>
              <w:rPr>
                <w:noProof/>
                <w:webHidden/>
              </w:rPr>
              <w:fldChar w:fldCharType="begin"/>
            </w:r>
            <w:r>
              <w:rPr>
                <w:noProof/>
                <w:webHidden/>
              </w:rPr>
              <w:instrText xml:space="preserve"> PAGEREF _Toc182989119 \h </w:instrText>
            </w:r>
            <w:r>
              <w:rPr>
                <w:noProof/>
                <w:webHidden/>
              </w:rPr>
            </w:r>
            <w:r>
              <w:rPr>
                <w:noProof/>
                <w:webHidden/>
              </w:rPr>
              <w:fldChar w:fldCharType="separate"/>
            </w:r>
            <w:r>
              <w:rPr>
                <w:noProof/>
                <w:webHidden/>
              </w:rPr>
              <w:t>17</w:t>
            </w:r>
            <w:r>
              <w:rPr>
                <w:noProof/>
                <w:webHidden/>
              </w:rPr>
              <w:fldChar w:fldCharType="end"/>
            </w:r>
          </w:hyperlink>
        </w:p>
        <w:p w14:paraId="595A9B45" w14:textId="07827FFA"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20" w:history="1">
            <w:r w:rsidRPr="004D5A70">
              <w:rPr>
                <w:rStyle w:val="Hyperlink"/>
                <w:noProof/>
              </w:rPr>
              <w:t>PrEP Initiation Visit</w:t>
            </w:r>
            <w:r>
              <w:rPr>
                <w:noProof/>
                <w:webHidden/>
              </w:rPr>
              <w:tab/>
            </w:r>
            <w:r>
              <w:rPr>
                <w:noProof/>
                <w:webHidden/>
              </w:rPr>
              <w:fldChar w:fldCharType="begin"/>
            </w:r>
            <w:r>
              <w:rPr>
                <w:noProof/>
                <w:webHidden/>
              </w:rPr>
              <w:instrText xml:space="preserve"> PAGEREF _Toc182989120 \h </w:instrText>
            </w:r>
            <w:r>
              <w:rPr>
                <w:noProof/>
                <w:webHidden/>
              </w:rPr>
            </w:r>
            <w:r>
              <w:rPr>
                <w:noProof/>
                <w:webHidden/>
              </w:rPr>
              <w:fldChar w:fldCharType="separate"/>
            </w:r>
            <w:r>
              <w:rPr>
                <w:noProof/>
                <w:webHidden/>
              </w:rPr>
              <w:t>20</w:t>
            </w:r>
            <w:r>
              <w:rPr>
                <w:noProof/>
                <w:webHidden/>
              </w:rPr>
              <w:fldChar w:fldCharType="end"/>
            </w:r>
          </w:hyperlink>
        </w:p>
        <w:p w14:paraId="040393B1" w14:textId="2BD3F906"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1" w:history="1">
            <w:r w:rsidRPr="004D5A70">
              <w:rPr>
                <w:rStyle w:val="Hyperlink"/>
                <w:rFonts w:cstheme="minorHAnsi"/>
                <w:bCs/>
                <w:noProof/>
              </w:rPr>
              <w:t>Component 1: HIV Testing and Counseling</w:t>
            </w:r>
            <w:r>
              <w:rPr>
                <w:noProof/>
                <w:webHidden/>
              </w:rPr>
              <w:tab/>
            </w:r>
            <w:r>
              <w:rPr>
                <w:noProof/>
                <w:webHidden/>
              </w:rPr>
              <w:fldChar w:fldCharType="begin"/>
            </w:r>
            <w:r>
              <w:rPr>
                <w:noProof/>
                <w:webHidden/>
              </w:rPr>
              <w:instrText xml:space="preserve"> PAGEREF _Toc182989121 \h </w:instrText>
            </w:r>
            <w:r>
              <w:rPr>
                <w:noProof/>
                <w:webHidden/>
              </w:rPr>
            </w:r>
            <w:r>
              <w:rPr>
                <w:noProof/>
                <w:webHidden/>
              </w:rPr>
              <w:fldChar w:fldCharType="separate"/>
            </w:r>
            <w:r>
              <w:rPr>
                <w:noProof/>
                <w:webHidden/>
              </w:rPr>
              <w:t>20</w:t>
            </w:r>
            <w:r>
              <w:rPr>
                <w:noProof/>
                <w:webHidden/>
              </w:rPr>
              <w:fldChar w:fldCharType="end"/>
            </w:r>
          </w:hyperlink>
        </w:p>
        <w:p w14:paraId="184596D0" w14:textId="46606F50"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2" w:history="1">
            <w:r w:rsidRPr="004D5A70">
              <w:rPr>
                <w:rStyle w:val="Hyperlink"/>
                <w:noProof/>
              </w:rPr>
              <w:t>Component 2: Assessments</w:t>
            </w:r>
            <w:r>
              <w:rPr>
                <w:noProof/>
                <w:webHidden/>
              </w:rPr>
              <w:tab/>
            </w:r>
            <w:r>
              <w:rPr>
                <w:noProof/>
                <w:webHidden/>
              </w:rPr>
              <w:fldChar w:fldCharType="begin"/>
            </w:r>
            <w:r>
              <w:rPr>
                <w:noProof/>
                <w:webHidden/>
              </w:rPr>
              <w:instrText xml:space="preserve"> PAGEREF _Toc182989122 \h </w:instrText>
            </w:r>
            <w:r>
              <w:rPr>
                <w:noProof/>
                <w:webHidden/>
              </w:rPr>
            </w:r>
            <w:r>
              <w:rPr>
                <w:noProof/>
                <w:webHidden/>
              </w:rPr>
              <w:fldChar w:fldCharType="separate"/>
            </w:r>
            <w:r>
              <w:rPr>
                <w:noProof/>
                <w:webHidden/>
              </w:rPr>
              <w:t>21</w:t>
            </w:r>
            <w:r>
              <w:rPr>
                <w:noProof/>
                <w:webHidden/>
              </w:rPr>
              <w:fldChar w:fldCharType="end"/>
            </w:r>
          </w:hyperlink>
        </w:p>
        <w:p w14:paraId="40B7752A" w14:textId="79DEFACE"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3" w:history="1">
            <w:r w:rsidRPr="004D5A70">
              <w:rPr>
                <w:rStyle w:val="Hyperlink"/>
                <w:noProof/>
              </w:rPr>
              <w:t>Component 3: PrEP Counseling</w:t>
            </w:r>
            <w:r>
              <w:rPr>
                <w:noProof/>
                <w:webHidden/>
              </w:rPr>
              <w:tab/>
            </w:r>
            <w:r>
              <w:rPr>
                <w:noProof/>
                <w:webHidden/>
              </w:rPr>
              <w:fldChar w:fldCharType="begin"/>
            </w:r>
            <w:r>
              <w:rPr>
                <w:noProof/>
                <w:webHidden/>
              </w:rPr>
              <w:instrText xml:space="preserve"> PAGEREF _Toc182989123 \h </w:instrText>
            </w:r>
            <w:r>
              <w:rPr>
                <w:noProof/>
                <w:webHidden/>
              </w:rPr>
            </w:r>
            <w:r>
              <w:rPr>
                <w:noProof/>
                <w:webHidden/>
              </w:rPr>
              <w:fldChar w:fldCharType="separate"/>
            </w:r>
            <w:r>
              <w:rPr>
                <w:noProof/>
                <w:webHidden/>
              </w:rPr>
              <w:t>23</w:t>
            </w:r>
            <w:r>
              <w:rPr>
                <w:noProof/>
                <w:webHidden/>
              </w:rPr>
              <w:fldChar w:fldCharType="end"/>
            </w:r>
          </w:hyperlink>
        </w:p>
        <w:p w14:paraId="5916B0A9" w14:textId="6BD670FF"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4" w:history="1">
            <w:r w:rsidRPr="004D5A70">
              <w:rPr>
                <w:rStyle w:val="Hyperlink"/>
                <w:noProof/>
              </w:rPr>
              <w:t>Component 4: PrEP Prescription</w:t>
            </w:r>
            <w:r>
              <w:rPr>
                <w:noProof/>
                <w:webHidden/>
              </w:rPr>
              <w:tab/>
            </w:r>
            <w:r>
              <w:rPr>
                <w:noProof/>
                <w:webHidden/>
              </w:rPr>
              <w:fldChar w:fldCharType="begin"/>
            </w:r>
            <w:r>
              <w:rPr>
                <w:noProof/>
                <w:webHidden/>
              </w:rPr>
              <w:instrText xml:space="preserve"> PAGEREF _Toc182989124 \h </w:instrText>
            </w:r>
            <w:r>
              <w:rPr>
                <w:noProof/>
                <w:webHidden/>
              </w:rPr>
            </w:r>
            <w:r>
              <w:rPr>
                <w:noProof/>
                <w:webHidden/>
              </w:rPr>
              <w:fldChar w:fldCharType="separate"/>
            </w:r>
            <w:r>
              <w:rPr>
                <w:noProof/>
                <w:webHidden/>
              </w:rPr>
              <w:t>24</w:t>
            </w:r>
            <w:r>
              <w:rPr>
                <w:noProof/>
                <w:webHidden/>
              </w:rPr>
              <w:fldChar w:fldCharType="end"/>
            </w:r>
          </w:hyperlink>
        </w:p>
        <w:p w14:paraId="56842C85" w14:textId="0742EF37"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5" w:history="1">
            <w:r w:rsidRPr="004D5A70">
              <w:rPr>
                <w:rStyle w:val="Hyperlink"/>
                <w:noProof/>
              </w:rPr>
              <w:t>Additional Components of PrEP Initiation Visit</w:t>
            </w:r>
            <w:r>
              <w:rPr>
                <w:noProof/>
                <w:webHidden/>
              </w:rPr>
              <w:tab/>
            </w:r>
            <w:r>
              <w:rPr>
                <w:noProof/>
                <w:webHidden/>
              </w:rPr>
              <w:fldChar w:fldCharType="begin"/>
            </w:r>
            <w:r>
              <w:rPr>
                <w:noProof/>
                <w:webHidden/>
              </w:rPr>
              <w:instrText xml:space="preserve"> PAGEREF _Toc182989125 \h </w:instrText>
            </w:r>
            <w:r>
              <w:rPr>
                <w:noProof/>
                <w:webHidden/>
              </w:rPr>
            </w:r>
            <w:r>
              <w:rPr>
                <w:noProof/>
                <w:webHidden/>
              </w:rPr>
              <w:fldChar w:fldCharType="separate"/>
            </w:r>
            <w:r>
              <w:rPr>
                <w:noProof/>
                <w:webHidden/>
              </w:rPr>
              <w:t>24</w:t>
            </w:r>
            <w:r>
              <w:rPr>
                <w:noProof/>
                <w:webHidden/>
              </w:rPr>
              <w:fldChar w:fldCharType="end"/>
            </w:r>
          </w:hyperlink>
        </w:p>
        <w:p w14:paraId="27ACBE17" w14:textId="3B8234B5"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26" w:history="1">
            <w:r w:rsidRPr="004D5A70">
              <w:rPr>
                <w:rStyle w:val="Hyperlink"/>
                <w:noProof/>
              </w:rPr>
              <w:t>PrEP Follow-Up Visits</w:t>
            </w:r>
            <w:r>
              <w:rPr>
                <w:noProof/>
                <w:webHidden/>
              </w:rPr>
              <w:tab/>
            </w:r>
            <w:r>
              <w:rPr>
                <w:noProof/>
                <w:webHidden/>
              </w:rPr>
              <w:fldChar w:fldCharType="begin"/>
            </w:r>
            <w:r>
              <w:rPr>
                <w:noProof/>
                <w:webHidden/>
              </w:rPr>
              <w:instrText xml:space="preserve"> PAGEREF _Toc182989126 \h </w:instrText>
            </w:r>
            <w:r>
              <w:rPr>
                <w:noProof/>
                <w:webHidden/>
              </w:rPr>
            </w:r>
            <w:r>
              <w:rPr>
                <w:noProof/>
                <w:webHidden/>
              </w:rPr>
              <w:fldChar w:fldCharType="separate"/>
            </w:r>
            <w:r>
              <w:rPr>
                <w:noProof/>
                <w:webHidden/>
              </w:rPr>
              <w:t>30</w:t>
            </w:r>
            <w:r>
              <w:rPr>
                <w:noProof/>
                <w:webHidden/>
              </w:rPr>
              <w:fldChar w:fldCharType="end"/>
            </w:r>
          </w:hyperlink>
        </w:p>
        <w:p w14:paraId="29052EAE" w14:textId="56F730E8"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7" w:history="1">
            <w:r w:rsidRPr="004D5A70">
              <w:rPr>
                <w:rStyle w:val="Hyperlink"/>
                <w:rFonts w:cstheme="minorHAnsi"/>
                <w:noProof/>
              </w:rPr>
              <w:t>Component 1: HIV Testing and Counseling</w:t>
            </w:r>
            <w:r>
              <w:rPr>
                <w:noProof/>
                <w:webHidden/>
              </w:rPr>
              <w:tab/>
            </w:r>
            <w:r>
              <w:rPr>
                <w:noProof/>
                <w:webHidden/>
              </w:rPr>
              <w:fldChar w:fldCharType="begin"/>
            </w:r>
            <w:r>
              <w:rPr>
                <w:noProof/>
                <w:webHidden/>
              </w:rPr>
              <w:instrText xml:space="preserve"> PAGEREF _Toc182989127 \h </w:instrText>
            </w:r>
            <w:r>
              <w:rPr>
                <w:noProof/>
                <w:webHidden/>
              </w:rPr>
            </w:r>
            <w:r>
              <w:rPr>
                <w:noProof/>
                <w:webHidden/>
              </w:rPr>
              <w:fldChar w:fldCharType="separate"/>
            </w:r>
            <w:r>
              <w:rPr>
                <w:noProof/>
                <w:webHidden/>
              </w:rPr>
              <w:t>30</w:t>
            </w:r>
            <w:r>
              <w:rPr>
                <w:noProof/>
                <w:webHidden/>
              </w:rPr>
              <w:fldChar w:fldCharType="end"/>
            </w:r>
          </w:hyperlink>
        </w:p>
        <w:p w14:paraId="46DC9723" w14:textId="364C979D"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8" w:history="1">
            <w:r w:rsidRPr="004D5A70">
              <w:rPr>
                <w:rStyle w:val="Hyperlink"/>
                <w:rFonts w:cstheme="minorHAnsi"/>
                <w:noProof/>
              </w:rPr>
              <w:t>Component 2: Assessments</w:t>
            </w:r>
            <w:r>
              <w:rPr>
                <w:noProof/>
                <w:webHidden/>
              </w:rPr>
              <w:tab/>
            </w:r>
            <w:r>
              <w:rPr>
                <w:noProof/>
                <w:webHidden/>
              </w:rPr>
              <w:fldChar w:fldCharType="begin"/>
            </w:r>
            <w:r>
              <w:rPr>
                <w:noProof/>
                <w:webHidden/>
              </w:rPr>
              <w:instrText xml:space="preserve"> PAGEREF _Toc182989128 \h </w:instrText>
            </w:r>
            <w:r>
              <w:rPr>
                <w:noProof/>
                <w:webHidden/>
              </w:rPr>
            </w:r>
            <w:r>
              <w:rPr>
                <w:noProof/>
                <w:webHidden/>
              </w:rPr>
              <w:fldChar w:fldCharType="separate"/>
            </w:r>
            <w:r>
              <w:rPr>
                <w:noProof/>
                <w:webHidden/>
              </w:rPr>
              <w:t>30</w:t>
            </w:r>
            <w:r>
              <w:rPr>
                <w:noProof/>
                <w:webHidden/>
              </w:rPr>
              <w:fldChar w:fldCharType="end"/>
            </w:r>
          </w:hyperlink>
        </w:p>
        <w:p w14:paraId="179EEFF6" w14:textId="3FA699A7"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29" w:history="1">
            <w:r w:rsidRPr="004D5A70">
              <w:rPr>
                <w:rStyle w:val="Hyperlink"/>
                <w:rFonts w:cstheme="minorHAnsi"/>
                <w:noProof/>
              </w:rPr>
              <w:t>Component 3: PrEP Counseling</w:t>
            </w:r>
            <w:r>
              <w:rPr>
                <w:noProof/>
                <w:webHidden/>
              </w:rPr>
              <w:tab/>
            </w:r>
            <w:r>
              <w:rPr>
                <w:noProof/>
                <w:webHidden/>
              </w:rPr>
              <w:fldChar w:fldCharType="begin"/>
            </w:r>
            <w:r>
              <w:rPr>
                <w:noProof/>
                <w:webHidden/>
              </w:rPr>
              <w:instrText xml:space="preserve"> PAGEREF _Toc182989129 \h </w:instrText>
            </w:r>
            <w:r>
              <w:rPr>
                <w:noProof/>
                <w:webHidden/>
              </w:rPr>
            </w:r>
            <w:r>
              <w:rPr>
                <w:noProof/>
                <w:webHidden/>
              </w:rPr>
              <w:fldChar w:fldCharType="separate"/>
            </w:r>
            <w:r>
              <w:rPr>
                <w:noProof/>
                <w:webHidden/>
              </w:rPr>
              <w:t>32</w:t>
            </w:r>
            <w:r>
              <w:rPr>
                <w:noProof/>
                <w:webHidden/>
              </w:rPr>
              <w:fldChar w:fldCharType="end"/>
            </w:r>
          </w:hyperlink>
        </w:p>
        <w:p w14:paraId="47686677" w14:textId="2306C682"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0" w:history="1">
            <w:r w:rsidRPr="004D5A70">
              <w:rPr>
                <w:rStyle w:val="Hyperlink"/>
                <w:noProof/>
              </w:rPr>
              <w:t>Component 4: PrEP Prescription Refill</w:t>
            </w:r>
            <w:r>
              <w:rPr>
                <w:noProof/>
                <w:webHidden/>
              </w:rPr>
              <w:tab/>
            </w:r>
            <w:r>
              <w:rPr>
                <w:noProof/>
                <w:webHidden/>
              </w:rPr>
              <w:fldChar w:fldCharType="begin"/>
            </w:r>
            <w:r>
              <w:rPr>
                <w:noProof/>
                <w:webHidden/>
              </w:rPr>
              <w:instrText xml:space="preserve"> PAGEREF _Toc182989130 \h </w:instrText>
            </w:r>
            <w:r>
              <w:rPr>
                <w:noProof/>
                <w:webHidden/>
              </w:rPr>
            </w:r>
            <w:r>
              <w:rPr>
                <w:noProof/>
                <w:webHidden/>
              </w:rPr>
              <w:fldChar w:fldCharType="separate"/>
            </w:r>
            <w:r>
              <w:rPr>
                <w:noProof/>
                <w:webHidden/>
              </w:rPr>
              <w:t>32</w:t>
            </w:r>
            <w:r>
              <w:rPr>
                <w:noProof/>
                <w:webHidden/>
              </w:rPr>
              <w:fldChar w:fldCharType="end"/>
            </w:r>
          </w:hyperlink>
        </w:p>
        <w:p w14:paraId="0B2FC29E" w14:textId="194A436C"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1" w:history="1">
            <w:r w:rsidRPr="004D5A70">
              <w:rPr>
                <w:rStyle w:val="Hyperlink"/>
                <w:noProof/>
              </w:rPr>
              <w:t>Potential Components of PrEP Follow-Up Visits</w:t>
            </w:r>
            <w:r>
              <w:rPr>
                <w:noProof/>
                <w:webHidden/>
              </w:rPr>
              <w:tab/>
            </w:r>
            <w:r>
              <w:rPr>
                <w:noProof/>
                <w:webHidden/>
              </w:rPr>
              <w:fldChar w:fldCharType="begin"/>
            </w:r>
            <w:r>
              <w:rPr>
                <w:noProof/>
                <w:webHidden/>
              </w:rPr>
              <w:instrText xml:space="preserve"> PAGEREF _Toc182989131 \h </w:instrText>
            </w:r>
            <w:r>
              <w:rPr>
                <w:noProof/>
                <w:webHidden/>
              </w:rPr>
            </w:r>
            <w:r>
              <w:rPr>
                <w:noProof/>
                <w:webHidden/>
              </w:rPr>
              <w:fldChar w:fldCharType="separate"/>
            </w:r>
            <w:r>
              <w:rPr>
                <w:noProof/>
                <w:webHidden/>
              </w:rPr>
              <w:t>32</w:t>
            </w:r>
            <w:r>
              <w:rPr>
                <w:noProof/>
                <w:webHidden/>
              </w:rPr>
              <w:fldChar w:fldCharType="end"/>
            </w:r>
          </w:hyperlink>
        </w:p>
        <w:p w14:paraId="4249E3A4" w14:textId="32E10788"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32" w:history="1">
            <w:r w:rsidRPr="004D5A70">
              <w:rPr>
                <w:rStyle w:val="Hyperlink"/>
                <w:noProof/>
              </w:rPr>
              <w:t>Unscheduled PrEP Visits</w:t>
            </w:r>
            <w:r>
              <w:rPr>
                <w:noProof/>
                <w:webHidden/>
              </w:rPr>
              <w:tab/>
            </w:r>
            <w:r>
              <w:rPr>
                <w:noProof/>
                <w:webHidden/>
              </w:rPr>
              <w:fldChar w:fldCharType="begin"/>
            </w:r>
            <w:r>
              <w:rPr>
                <w:noProof/>
                <w:webHidden/>
              </w:rPr>
              <w:instrText xml:space="preserve"> PAGEREF _Toc182989132 \h </w:instrText>
            </w:r>
            <w:r>
              <w:rPr>
                <w:noProof/>
                <w:webHidden/>
              </w:rPr>
            </w:r>
            <w:r>
              <w:rPr>
                <w:noProof/>
                <w:webHidden/>
              </w:rPr>
              <w:fldChar w:fldCharType="separate"/>
            </w:r>
            <w:r>
              <w:rPr>
                <w:noProof/>
                <w:webHidden/>
              </w:rPr>
              <w:t>32</w:t>
            </w:r>
            <w:r>
              <w:rPr>
                <w:noProof/>
                <w:webHidden/>
              </w:rPr>
              <w:fldChar w:fldCharType="end"/>
            </w:r>
          </w:hyperlink>
        </w:p>
        <w:p w14:paraId="27AEE5EB" w14:textId="4D9073EC"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33" w:history="1">
            <w:r w:rsidRPr="004D5A70">
              <w:rPr>
                <w:rStyle w:val="Hyperlink"/>
                <w:noProof/>
              </w:rPr>
              <w:t>Discontinuing PrEP Use</w:t>
            </w:r>
            <w:r>
              <w:rPr>
                <w:noProof/>
                <w:webHidden/>
              </w:rPr>
              <w:tab/>
            </w:r>
            <w:r>
              <w:rPr>
                <w:noProof/>
                <w:webHidden/>
              </w:rPr>
              <w:fldChar w:fldCharType="begin"/>
            </w:r>
            <w:r>
              <w:rPr>
                <w:noProof/>
                <w:webHidden/>
              </w:rPr>
              <w:instrText xml:space="preserve"> PAGEREF _Toc182989133 \h </w:instrText>
            </w:r>
            <w:r>
              <w:rPr>
                <w:noProof/>
                <w:webHidden/>
              </w:rPr>
            </w:r>
            <w:r>
              <w:rPr>
                <w:noProof/>
                <w:webHidden/>
              </w:rPr>
              <w:fldChar w:fldCharType="separate"/>
            </w:r>
            <w:r>
              <w:rPr>
                <w:noProof/>
                <w:webHidden/>
              </w:rPr>
              <w:t>32</w:t>
            </w:r>
            <w:r>
              <w:rPr>
                <w:noProof/>
                <w:webHidden/>
              </w:rPr>
              <w:fldChar w:fldCharType="end"/>
            </w:r>
          </w:hyperlink>
        </w:p>
        <w:p w14:paraId="7BB72BF4" w14:textId="5013DF35"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34" w:history="1">
            <w:r w:rsidRPr="004D5A70">
              <w:rPr>
                <w:rStyle w:val="Hyperlink"/>
                <w:noProof/>
              </w:rPr>
              <w:t>Restarting PrEP Use</w:t>
            </w:r>
            <w:r>
              <w:rPr>
                <w:noProof/>
                <w:webHidden/>
              </w:rPr>
              <w:tab/>
            </w:r>
            <w:r>
              <w:rPr>
                <w:noProof/>
                <w:webHidden/>
              </w:rPr>
              <w:fldChar w:fldCharType="begin"/>
            </w:r>
            <w:r>
              <w:rPr>
                <w:noProof/>
                <w:webHidden/>
              </w:rPr>
              <w:instrText xml:space="preserve"> PAGEREF _Toc182989134 \h </w:instrText>
            </w:r>
            <w:r>
              <w:rPr>
                <w:noProof/>
                <w:webHidden/>
              </w:rPr>
            </w:r>
            <w:r>
              <w:rPr>
                <w:noProof/>
                <w:webHidden/>
              </w:rPr>
              <w:fldChar w:fldCharType="separate"/>
            </w:r>
            <w:r>
              <w:rPr>
                <w:noProof/>
                <w:webHidden/>
              </w:rPr>
              <w:t>33</w:t>
            </w:r>
            <w:r>
              <w:rPr>
                <w:noProof/>
                <w:webHidden/>
              </w:rPr>
              <w:fldChar w:fldCharType="end"/>
            </w:r>
          </w:hyperlink>
        </w:p>
        <w:p w14:paraId="3D1E29B3" w14:textId="66BA1A4A"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35" w:history="1">
            <w:r w:rsidRPr="004D5A70">
              <w:rPr>
                <w:rStyle w:val="Hyperlink"/>
                <w:rFonts w:cstheme="minorHAnsi"/>
                <w:noProof/>
              </w:rPr>
              <w:t>Management of Clients in Specific Situations</w:t>
            </w:r>
            <w:r>
              <w:rPr>
                <w:noProof/>
                <w:webHidden/>
              </w:rPr>
              <w:tab/>
            </w:r>
            <w:r>
              <w:rPr>
                <w:noProof/>
                <w:webHidden/>
              </w:rPr>
              <w:fldChar w:fldCharType="begin"/>
            </w:r>
            <w:r>
              <w:rPr>
                <w:noProof/>
                <w:webHidden/>
              </w:rPr>
              <w:instrText xml:space="preserve"> PAGEREF _Toc182989135 \h </w:instrText>
            </w:r>
            <w:r>
              <w:rPr>
                <w:noProof/>
                <w:webHidden/>
              </w:rPr>
            </w:r>
            <w:r>
              <w:rPr>
                <w:noProof/>
                <w:webHidden/>
              </w:rPr>
              <w:fldChar w:fldCharType="separate"/>
            </w:r>
            <w:r>
              <w:rPr>
                <w:noProof/>
                <w:webHidden/>
              </w:rPr>
              <w:t>33</w:t>
            </w:r>
            <w:r>
              <w:rPr>
                <w:noProof/>
                <w:webHidden/>
              </w:rPr>
              <w:fldChar w:fldCharType="end"/>
            </w:r>
          </w:hyperlink>
        </w:p>
        <w:p w14:paraId="49328DD2" w14:textId="38E578CD"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6" w:history="1">
            <w:r w:rsidRPr="004D5A70">
              <w:rPr>
                <w:rStyle w:val="Hyperlink"/>
                <w:noProof/>
              </w:rPr>
              <w:t>Management of Creatinine Elevation Among Clients Using Oral PrEP</w:t>
            </w:r>
            <w:r>
              <w:rPr>
                <w:noProof/>
                <w:webHidden/>
              </w:rPr>
              <w:tab/>
            </w:r>
            <w:r>
              <w:rPr>
                <w:noProof/>
                <w:webHidden/>
              </w:rPr>
              <w:fldChar w:fldCharType="begin"/>
            </w:r>
            <w:r>
              <w:rPr>
                <w:noProof/>
                <w:webHidden/>
              </w:rPr>
              <w:instrText xml:space="preserve"> PAGEREF _Toc182989136 \h </w:instrText>
            </w:r>
            <w:r>
              <w:rPr>
                <w:noProof/>
                <w:webHidden/>
              </w:rPr>
            </w:r>
            <w:r>
              <w:rPr>
                <w:noProof/>
                <w:webHidden/>
              </w:rPr>
              <w:fldChar w:fldCharType="separate"/>
            </w:r>
            <w:r>
              <w:rPr>
                <w:noProof/>
                <w:webHidden/>
              </w:rPr>
              <w:t>33</w:t>
            </w:r>
            <w:r>
              <w:rPr>
                <w:noProof/>
                <w:webHidden/>
              </w:rPr>
              <w:fldChar w:fldCharType="end"/>
            </w:r>
          </w:hyperlink>
        </w:p>
        <w:p w14:paraId="33778A4E" w14:textId="4C2E24D0"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7" w:history="1">
            <w:r w:rsidRPr="004D5A70">
              <w:rPr>
                <w:rStyle w:val="Hyperlink"/>
                <w:noProof/>
              </w:rPr>
              <w:t>Management of HIV Seroconversion</w:t>
            </w:r>
            <w:r>
              <w:rPr>
                <w:noProof/>
                <w:webHidden/>
              </w:rPr>
              <w:tab/>
            </w:r>
            <w:r>
              <w:rPr>
                <w:noProof/>
                <w:webHidden/>
              </w:rPr>
              <w:fldChar w:fldCharType="begin"/>
            </w:r>
            <w:r>
              <w:rPr>
                <w:noProof/>
                <w:webHidden/>
              </w:rPr>
              <w:instrText xml:space="preserve"> PAGEREF _Toc182989137 \h </w:instrText>
            </w:r>
            <w:r>
              <w:rPr>
                <w:noProof/>
                <w:webHidden/>
              </w:rPr>
            </w:r>
            <w:r>
              <w:rPr>
                <w:noProof/>
                <w:webHidden/>
              </w:rPr>
              <w:fldChar w:fldCharType="separate"/>
            </w:r>
            <w:r>
              <w:rPr>
                <w:noProof/>
                <w:webHidden/>
              </w:rPr>
              <w:t>34</w:t>
            </w:r>
            <w:r>
              <w:rPr>
                <w:noProof/>
                <w:webHidden/>
              </w:rPr>
              <w:fldChar w:fldCharType="end"/>
            </w:r>
          </w:hyperlink>
        </w:p>
        <w:p w14:paraId="0C01A416" w14:textId="619FF851"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8" w:history="1">
            <w:r w:rsidRPr="004D5A70">
              <w:rPr>
                <w:rStyle w:val="Hyperlink"/>
                <w:noProof/>
              </w:rPr>
              <w:t>Management of Side Effects and Adverse Drug Reactions</w:t>
            </w:r>
            <w:r>
              <w:rPr>
                <w:noProof/>
                <w:webHidden/>
              </w:rPr>
              <w:tab/>
            </w:r>
            <w:r>
              <w:rPr>
                <w:noProof/>
                <w:webHidden/>
              </w:rPr>
              <w:fldChar w:fldCharType="begin"/>
            </w:r>
            <w:r>
              <w:rPr>
                <w:noProof/>
                <w:webHidden/>
              </w:rPr>
              <w:instrText xml:space="preserve"> PAGEREF _Toc182989138 \h </w:instrText>
            </w:r>
            <w:r>
              <w:rPr>
                <w:noProof/>
                <w:webHidden/>
              </w:rPr>
            </w:r>
            <w:r>
              <w:rPr>
                <w:noProof/>
                <w:webHidden/>
              </w:rPr>
              <w:fldChar w:fldCharType="separate"/>
            </w:r>
            <w:r>
              <w:rPr>
                <w:noProof/>
                <w:webHidden/>
              </w:rPr>
              <w:t>34</w:t>
            </w:r>
            <w:r>
              <w:rPr>
                <w:noProof/>
                <w:webHidden/>
              </w:rPr>
              <w:fldChar w:fldCharType="end"/>
            </w:r>
          </w:hyperlink>
        </w:p>
        <w:p w14:paraId="360099FD" w14:textId="47E80F1F" w:rsidR="00CA59A6" w:rsidRDefault="00CA59A6">
          <w:pPr>
            <w:pStyle w:val="TOC2"/>
            <w:rPr>
              <w:rFonts w:asciiTheme="minorHAnsi" w:eastAsiaTheme="minorEastAsia" w:hAnsiTheme="minorHAnsi" w:cstheme="minorBidi"/>
              <w:noProof/>
              <w:kern w:val="2"/>
              <w:sz w:val="24"/>
              <w:szCs w:val="24"/>
              <w:lang w:val="en-GB" w:eastAsia="en-GB"/>
              <w14:ligatures w14:val="standardContextual"/>
            </w:rPr>
          </w:pPr>
          <w:hyperlink w:anchor="_Toc182989139" w:history="1">
            <w:r w:rsidRPr="004D5A70">
              <w:rPr>
                <w:rStyle w:val="Hyperlink"/>
                <w:noProof/>
              </w:rPr>
              <w:t>Pregnancy and Breastfeeding</w:t>
            </w:r>
            <w:r>
              <w:rPr>
                <w:noProof/>
                <w:webHidden/>
              </w:rPr>
              <w:tab/>
            </w:r>
            <w:r>
              <w:rPr>
                <w:noProof/>
                <w:webHidden/>
              </w:rPr>
              <w:fldChar w:fldCharType="begin"/>
            </w:r>
            <w:r>
              <w:rPr>
                <w:noProof/>
                <w:webHidden/>
              </w:rPr>
              <w:instrText xml:space="preserve"> PAGEREF _Toc182989139 \h </w:instrText>
            </w:r>
            <w:r>
              <w:rPr>
                <w:noProof/>
                <w:webHidden/>
              </w:rPr>
            </w:r>
            <w:r>
              <w:rPr>
                <w:noProof/>
                <w:webHidden/>
              </w:rPr>
              <w:fldChar w:fldCharType="separate"/>
            </w:r>
            <w:r>
              <w:rPr>
                <w:noProof/>
                <w:webHidden/>
              </w:rPr>
              <w:t>34</w:t>
            </w:r>
            <w:r>
              <w:rPr>
                <w:noProof/>
                <w:webHidden/>
              </w:rPr>
              <w:fldChar w:fldCharType="end"/>
            </w:r>
          </w:hyperlink>
        </w:p>
        <w:p w14:paraId="50204903" w14:textId="238AD558"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40" w:history="1">
            <w:r w:rsidRPr="004D5A70">
              <w:rPr>
                <w:rStyle w:val="Hyperlink"/>
                <w:noProof/>
              </w:rPr>
              <w:t>Who Can Deliver PrEP and Where?</w:t>
            </w:r>
            <w:r>
              <w:rPr>
                <w:noProof/>
                <w:webHidden/>
              </w:rPr>
              <w:tab/>
            </w:r>
            <w:r>
              <w:rPr>
                <w:noProof/>
                <w:webHidden/>
              </w:rPr>
              <w:fldChar w:fldCharType="begin"/>
            </w:r>
            <w:r>
              <w:rPr>
                <w:noProof/>
                <w:webHidden/>
              </w:rPr>
              <w:instrText xml:space="preserve"> PAGEREF _Toc182989140 \h </w:instrText>
            </w:r>
            <w:r>
              <w:rPr>
                <w:noProof/>
                <w:webHidden/>
              </w:rPr>
            </w:r>
            <w:r>
              <w:rPr>
                <w:noProof/>
                <w:webHidden/>
              </w:rPr>
              <w:fldChar w:fldCharType="separate"/>
            </w:r>
            <w:r>
              <w:rPr>
                <w:noProof/>
                <w:webHidden/>
              </w:rPr>
              <w:t>35</w:t>
            </w:r>
            <w:r>
              <w:rPr>
                <w:noProof/>
                <w:webHidden/>
              </w:rPr>
              <w:fldChar w:fldCharType="end"/>
            </w:r>
          </w:hyperlink>
        </w:p>
        <w:p w14:paraId="019DEA96" w14:textId="6A94D81E" w:rsidR="00CA59A6" w:rsidRDefault="00CA59A6">
          <w:pPr>
            <w:pStyle w:val="TOC1"/>
            <w:rPr>
              <w:rFonts w:asciiTheme="minorHAnsi" w:eastAsiaTheme="minorEastAsia" w:hAnsiTheme="minorHAnsi" w:cstheme="minorBidi"/>
              <w:noProof/>
              <w:kern w:val="2"/>
              <w:sz w:val="24"/>
              <w:szCs w:val="24"/>
              <w:lang w:val="en-GB" w:eastAsia="en-GB"/>
              <w14:ligatures w14:val="standardContextual"/>
            </w:rPr>
          </w:pPr>
          <w:hyperlink w:anchor="_Toc182989141" w:history="1">
            <w:r w:rsidRPr="004D5A70">
              <w:rPr>
                <w:rStyle w:val="Hyperlink"/>
                <w:noProof/>
              </w:rPr>
              <w:t>Annex</w:t>
            </w:r>
            <w:r>
              <w:rPr>
                <w:noProof/>
                <w:webHidden/>
              </w:rPr>
              <w:tab/>
            </w:r>
            <w:r>
              <w:rPr>
                <w:noProof/>
                <w:webHidden/>
              </w:rPr>
              <w:fldChar w:fldCharType="begin"/>
            </w:r>
            <w:r>
              <w:rPr>
                <w:noProof/>
                <w:webHidden/>
              </w:rPr>
              <w:instrText xml:space="preserve"> PAGEREF _Toc182989141 \h </w:instrText>
            </w:r>
            <w:r>
              <w:rPr>
                <w:noProof/>
                <w:webHidden/>
              </w:rPr>
            </w:r>
            <w:r>
              <w:rPr>
                <w:noProof/>
                <w:webHidden/>
              </w:rPr>
              <w:fldChar w:fldCharType="separate"/>
            </w:r>
            <w:r>
              <w:rPr>
                <w:noProof/>
                <w:webHidden/>
              </w:rPr>
              <w:t>36</w:t>
            </w:r>
            <w:r>
              <w:rPr>
                <w:noProof/>
                <w:webHidden/>
              </w:rPr>
              <w:fldChar w:fldCharType="end"/>
            </w:r>
          </w:hyperlink>
        </w:p>
        <w:p w14:paraId="0F093A12" w14:textId="25C7E6FB" w:rsidR="00BB5BA3" w:rsidRPr="007F47FD" w:rsidRDefault="00BB5BA3" w:rsidP="00DD508F">
          <w:pPr>
            <w:spacing w:after="120" w:line="240" w:lineRule="auto"/>
            <w:rPr>
              <w:rFonts w:cstheme="minorHAnsi"/>
            </w:rPr>
          </w:pPr>
          <w:r w:rsidRPr="007F47FD">
            <w:rPr>
              <w:rFonts w:cstheme="minorHAnsi"/>
            </w:rPr>
            <w:fldChar w:fldCharType="end"/>
          </w:r>
        </w:p>
      </w:sdtContent>
    </w:sdt>
    <w:p w14:paraId="74BDFFFE" w14:textId="77777777" w:rsidR="00EB6B49" w:rsidRDefault="00EB6B49">
      <w:pPr>
        <w:rPr>
          <w:rFonts w:eastAsiaTheme="majorEastAsia"/>
          <w:color w:val="2F5496" w:themeColor="accent1" w:themeShade="BF"/>
          <w:sz w:val="32"/>
          <w:szCs w:val="32"/>
        </w:rPr>
      </w:pPr>
      <w:bookmarkStart w:id="0" w:name="_heading=h.6typr6fxp46p" w:colFirst="0" w:colLast="0"/>
      <w:bookmarkEnd w:id="0"/>
      <w:r>
        <w:br w:type="page"/>
      </w:r>
    </w:p>
    <w:p w14:paraId="0E95F575" w14:textId="77777777" w:rsidR="000E477C" w:rsidRPr="003012D6" w:rsidRDefault="000E477C" w:rsidP="000E477C">
      <w:pPr>
        <w:pStyle w:val="Heading1"/>
        <w:rPr>
          <w:rFonts w:asciiTheme="minorHAnsi" w:hAnsiTheme="minorHAnsi" w:cstheme="minorHAnsi"/>
        </w:rPr>
      </w:pPr>
      <w:bookmarkStart w:id="1" w:name="_Toc182989090"/>
      <w:r w:rsidRPr="003012D6">
        <w:rPr>
          <w:rFonts w:asciiTheme="minorHAnsi" w:hAnsiTheme="minorHAnsi" w:cstheme="minorHAnsi"/>
        </w:rPr>
        <w:lastRenderedPageBreak/>
        <w:t>List of Acronyms</w:t>
      </w:r>
      <w:bookmarkEnd w:id="1"/>
    </w:p>
    <w:p w14:paraId="362E617E" w14:textId="77777777" w:rsidR="00262854" w:rsidRPr="00262854" w:rsidRDefault="00262854" w:rsidP="00262854"/>
    <w:tbl>
      <w:tblPr>
        <w:tblW w:w="0" w:type="auto"/>
        <w:tblLayout w:type="fixed"/>
        <w:tblLook w:val="04A0" w:firstRow="1" w:lastRow="0" w:firstColumn="1" w:lastColumn="0" w:noHBand="0" w:noVBand="1"/>
      </w:tblPr>
      <w:tblGrid>
        <w:gridCol w:w="1705"/>
        <w:gridCol w:w="7295"/>
      </w:tblGrid>
      <w:tr w:rsidR="00262854" w:rsidRPr="00262854" w14:paraId="65343255" w14:textId="77777777" w:rsidTr="00262854">
        <w:trPr>
          <w:trHeight w:val="180"/>
        </w:trPr>
        <w:tc>
          <w:tcPr>
            <w:tcW w:w="1705" w:type="dxa"/>
            <w:noWrap/>
            <w:hideMark/>
          </w:tcPr>
          <w:p w14:paraId="72AD0065" w14:textId="77777777" w:rsidR="003B34F2" w:rsidRPr="00262854" w:rsidRDefault="003B34F2" w:rsidP="00262854">
            <w:pPr>
              <w:rPr>
                <w:rFonts w:cstheme="minorHAnsi"/>
                <w:b/>
                <w:bCs/>
              </w:rPr>
            </w:pPr>
            <w:r w:rsidRPr="00262854">
              <w:rPr>
                <w:rFonts w:cstheme="minorHAnsi"/>
                <w:b/>
                <w:bCs/>
              </w:rPr>
              <w:t>3TC</w:t>
            </w:r>
          </w:p>
        </w:tc>
        <w:tc>
          <w:tcPr>
            <w:tcW w:w="7295" w:type="dxa"/>
            <w:noWrap/>
            <w:hideMark/>
          </w:tcPr>
          <w:p w14:paraId="71F52909" w14:textId="7916FA8B" w:rsidR="003B34F2" w:rsidRPr="00262854" w:rsidRDefault="003B34F2" w:rsidP="00605B83">
            <w:pPr>
              <w:tabs>
                <w:tab w:val="left" w:pos="1613"/>
              </w:tabs>
              <w:rPr>
                <w:rFonts w:cstheme="minorHAnsi"/>
              </w:rPr>
            </w:pPr>
            <w:r w:rsidRPr="00262854">
              <w:rPr>
                <w:rFonts w:cstheme="minorHAnsi"/>
              </w:rPr>
              <w:t>Lamivudine</w:t>
            </w:r>
            <w:r w:rsidR="004058FD">
              <w:rPr>
                <w:rFonts w:cstheme="minorHAnsi"/>
              </w:rPr>
              <w:tab/>
            </w:r>
          </w:p>
        </w:tc>
      </w:tr>
      <w:tr w:rsidR="00262854" w:rsidRPr="00262854" w14:paraId="46D11C05" w14:textId="77777777" w:rsidTr="0003742C">
        <w:trPr>
          <w:trHeight w:val="20"/>
        </w:trPr>
        <w:tc>
          <w:tcPr>
            <w:tcW w:w="1705" w:type="dxa"/>
            <w:noWrap/>
            <w:hideMark/>
          </w:tcPr>
          <w:p w14:paraId="7A4204E8" w14:textId="77777777" w:rsidR="003B34F2" w:rsidRPr="00262854" w:rsidRDefault="003B34F2" w:rsidP="00262854">
            <w:pPr>
              <w:rPr>
                <w:rFonts w:cstheme="minorHAnsi"/>
                <w:b/>
                <w:bCs/>
              </w:rPr>
            </w:pPr>
            <w:r w:rsidRPr="00262854">
              <w:rPr>
                <w:rFonts w:cstheme="minorHAnsi"/>
                <w:b/>
                <w:bCs/>
              </w:rPr>
              <w:t>AFAB</w:t>
            </w:r>
          </w:p>
        </w:tc>
        <w:tc>
          <w:tcPr>
            <w:tcW w:w="7295" w:type="dxa"/>
            <w:noWrap/>
            <w:hideMark/>
          </w:tcPr>
          <w:p w14:paraId="51C3278D" w14:textId="77777777" w:rsidR="003B34F2" w:rsidRPr="00262854" w:rsidRDefault="003B34F2" w:rsidP="00262854">
            <w:pPr>
              <w:rPr>
                <w:rFonts w:cstheme="minorHAnsi"/>
              </w:rPr>
            </w:pPr>
            <w:r w:rsidRPr="00262854">
              <w:rPr>
                <w:rFonts w:cstheme="minorHAnsi"/>
              </w:rPr>
              <w:t>Assigned female at birth</w:t>
            </w:r>
          </w:p>
        </w:tc>
      </w:tr>
      <w:tr w:rsidR="00262854" w:rsidRPr="00262854" w14:paraId="033D7EBF" w14:textId="77777777" w:rsidTr="0003742C">
        <w:trPr>
          <w:trHeight w:val="20"/>
        </w:trPr>
        <w:tc>
          <w:tcPr>
            <w:tcW w:w="1705" w:type="dxa"/>
            <w:noWrap/>
            <w:hideMark/>
          </w:tcPr>
          <w:p w14:paraId="5F2CD6D0" w14:textId="77777777" w:rsidR="003B34F2" w:rsidRPr="00262854" w:rsidRDefault="003B34F2" w:rsidP="00262854">
            <w:pPr>
              <w:rPr>
                <w:rFonts w:cstheme="minorHAnsi"/>
                <w:b/>
                <w:bCs/>
              </w:rPr>
            </w:pPr>
            <w:r w:rsidRPr="00262854">
              <w:rPr>
                <w:rFonts w:cstheme="minorHAnsi"/>
                <w:b/>
                <w:bCs/>
              </w:rPr>
              <w:t>AHI</w:t>
            </w:r>
          </w:p>
        </w:tc>
        <w:tc>
          <w:tcPr>
            <w:tcW w:w="7295" w:type="dxa"/>
            <w:noWrap/>
            <w:hideMark/>
          </w:tcPr>
          <w:p w14:paraId="5639D216" w14:textId="77777777" w:rsidR="003B34F2" w:rsidRPr="00262854" w:rsidRDefault="003B34F2" w:rsidP="00262854">
            <w:pPr>
              <w:rPr>
                <w:rFonts w:cstheme="minorHAnsi"/>
              </w:rPr>
            </w:pPr>
            <w:r w:rsidRPr="00262854">
              <w:rPr>
                <w:rFonts w:cstheme="minorHAnsi"/>
              </w:rPr>
              <w:t>Acute HIV infection</w:t>
            </w:r>
          </w:p>
        </w:tc>
      </w:tr>
      <w:tr w:rsidR="00262854" w:rsidRPr="00262854" w14:paraId="1EA0421E" w14:textId="77777777" w:rsidTr="0003742C">
        <w:trPr>
          <w:trHeight w:val="20"/>
        </w:trPr>
        <w:tc>
          <w:tcPr>
            <w:tcW w:w="1705" w:type="dxa"/>
            <w:noWrap/>
            <w:hideMark/>
          </w:tcPr>
          <w:p w14:paraId="69341650" w14:textId="77777777" w:rsidR="003B34F2" w:rsidRPr="00262854" w:rsidRDefault="003B34F2" w:rsidP="00262854">
            <w:pPr>
              <w:rPr>
                <w:rFonts w:cstheme="minorHAnsi"/>
                <w:b/>
                <w:bCs/>
              </w:rPr>
            </w:pPr>
            <w:r w:rsidRPr="00262854">
              <w:rPr>
                <w:rFonts w:cstheme="minorHAnsi"/>
                <w:b/>
                <w:bCs/>
              </w:rPr>
              <w:t>AMAB</w:t>
            </w:r>
          </w:p>
        </w:tc>
        <w:tc>
          <w:tcPr>
            <w:tcW w:w="7295" w:type="dxa"/>
            <w:noWrap/>
            <w:hideMark/>
          </w:tcPr>
          <w:p w14:paraId="0E48EC5C" w14:textId="77777777" w:rsidR="003B34F2" w:rsidRPr="00262854" w:rsidRDefault="003B34F2" w:rsidP="00262854">
            <w:pPr>
              <w:rPr>
                <w:rFonts w:cstheme="minorHAnsi"/>
              </w:rPr>
            </w:pPr>
            <w:r w:rsidRPr="00262854">
              <w:rPr>
                <w:rFonts w:cstheme="minorHAnsi"/>
              </w:rPr>
              <w:t>Assigned male at birth</w:t>
            </w:r>
          </w:p>
        </w:tc>
      </w:tr>
      <w:tr w:rsidR="00262854" w:rsidRPr="00262854" w14:paraId="5EFE9108" w14:textId="77777777" w:rsidTr="0003742C">
        <w:trPr>
          <w:trHeight w:val="20"/>
        </w:trPr>
        <w:tc>
          <w:tcPr>
            <w:tcW w:w="1705" w:type="dxa"/>
            <w:noWrap/>
            <w:hideMark/>
          </w:tcPr>
          <w:p w14:paraId="05153153" w14:textId="77777777" w:rsidR="003B34F2" w:rsidRPr="00262854" w:rsidRDefault="003B34F2" w:rsidP="00262854">
            <w:pPr>
              <w:rPr>
                <w:rFonts w:cstheme="minorHAnsi"/>
                <w:b/>
                <w:bCs/>
              </w:rPr>
            </w:pPr>
            <w:r w:rsidRPr="00262854">
              <w:rPr>
                <w:rFonts w:cstheme="minorHAnsi"/>
                <w:b/>
                <w:bCs/>
              </w:rPr>
              <w:t>ARV</w:t>
            </w:r>
          </w:p>
        </w:tc>
        <w:tc>
          <w:tcPr>
            <w:tcW w:w="7295" w:type="dxa"/>
            <w:noWrap/>
            <w:hideMark/>
          </w:tcPr>
          <w:p w14:paraId="1911E804" w14:textId="6608811D" w:rsidR="003B34F2" w:rsidRPr="00262854" w:rsidRDefault="00D027ED" w:rsidP="00262854">
            <w:pPr>
              <w:rPr>
                <w:rFonts w:cstheme="minorHAnsi"/>
              </w:rPr>
            </w:pPr>
            <w:r w:rsidRPr="00262854">
              <w:rPr>
                <w:rFonts w:cstheme="minorHAnsi"/>
              </w:rPr>
              <w:t>Antiretroviral</w:t>
            </w:r>
          </w:p>
        </w:tc>
      </w:tr>
      <w:tr w:rsidR="00262854" w:rsidRPr="00262854" w14:paraId="5229C9B4" w14:textId="77777777" w:rsidTr="0003742C">
        <w:trPr>
          <w:trHeight w:val="20"/>
        </w:trPr>
        <w:tc>
          <w:tcPr>
            <w:tcW w:w="1705" w:type="dxa"/>
            <w:noWrap/>
            <w:hideMark/>
          </w:tcPr>
          <w:p w14:paraId="670EC6DB" w14:textId="77777777" w:rsidR="003B34F2" w:rsidRPr="00262854" w:rsidRDefault="003B34F2" w:rsidP="00262854">
            <w:pPr>
              <w:rPr>
                <w:rFonts w:cstheme="minorHAnsi"/>
                <w:b/>
                <w:bCs/>
              </w:rPr>
            </w:pPr>
            <w:r w:rsidRPr="00262854">
              <w:rPr>
                <w:rFonts w:cstheme="minorHAnsi"/>
                <w:b/>
                <w:bCs/>
              </w:rPr>
              <w:t>CAB PrEP</w:t>
            </w:r>
          </w:p>
        </w:tc>
        <w:tc>
          <w:tcPr>
            <w:tcW w:w="7295" w:type="dxa"/>
            <w:noWrap/>
            <w:hideMark/>
          </w:tcPr>
          <w:p w14:paraId="3CEFAF6D" w14:textId="77777777" w:rsidR="003B34F2" w:rsidRPr="00262854" w:rsidRDefault="003B34F2" w:rsidP="00262854">
            <w:pPr>
              <w:rPr>
                <w:rFonts w:cstheme="minorHAnsi"/>
              </w:rPr>
            </w:pPr>
            <w:r w:rsidRPr="00262854">
              <w:rPr>
                <w:rFonts w:cstheme="minorHAnsi"/>
              </w:rPr>
              <w:t>Injectable cabotegravir</w:t>
            </w:r>
          </w:p>
        </w:tc>
      </w:tr>
      <w:tr w:rsidR="00262854" w:rsidRPr="00262854" w14:paraId="531FEB75" w14:textId="77777777" w:rsidTr="0003742C">
        <w:trPr>
          <w:trHeight w:val="20"/>
        </w:trPr>
        <w:tc>
          <w:tcPr>
            <w:tcW w:w="1705" w:type="dxa"/>
            <w:noWrap/>
            <w:hideMark/>
          </w:tcPr>
          <w:p w14:paraId="282BE7D1" w14:textId="77777777" w:rsidR="003B34F2" w:rsidRPr="00262854" w:rsidRDefault="003B34F2" w:rsidP="00262854">
            <w:pPr>
              <w:rPr>
                <w:rFonts w:cstheme="minorHAnsi"/>
                <w:b/>
                <w:bCs/>
              </w:rPr>
            </w:pPr>
            <w:r w:rsidRPr="00262854">
              <w:rPr>
                <w:rFonts w:cstheme="minorHAnsi"/>
                <w:b/>
                <w:bCs/>
              </w:rPr>
              <w:t>CKD-EPI</w:t>
            </w:r>
          </w:p>
        </w:tc>
        <w:tc>
          <w:tcPr>
            <w:tcW w:w="7295" w:type="dxa"/>
            <w:noWrap/>
            <w:hideMark/>
          </w:tcPr>
          <w:p w14:paraId="37690635" w14:textId="77777777" w:rsidR="003B34F2" w:rsidRPr="00262854" w:rsidRDefault="003B34F2" w:rsidP="00262854">
            <w:pPr>
              <w:rPr>
                <w:rFonts w:cstheme="minorHAnsi"/>
              </w:rPr>
            </w:pPr>
            <w:r w:rsidRPr="00262854">
              <w:rPr>
                <w:rFonts w:cstheme="minorHAnsi"/>
              </w:rPr>
              <w:t>Chronic Kidney Disease Epidemiology Collaboration</w:t>
            </w:r>
          </w:p>
        </w:tc>
      </w:tr>
      <w:tr w:rsidR="00262854" w:rsidRPr="00262854" w14:paraId="4D0D3F7A" w14:textId="77777777" w:rsidTr="0003742C">
        <w:trPr>
          <w:trHeight w:val="20"/>
        </w:trPr>
        <w:tc>
          <w:tcPr>
            <w:tcW w:w="1705" w:type="dxa"/>
            <w:noWrap/>
            <w:hideMark/>
          </w:tcPr>
          <w:p w14:paraId="134E3623" w14:textId="77777777" w:rsidR="003B34F2" w:rsidRPr="00262854" w:rsidRDefault="003B34F2" w:rsidP="00262854">
            <w:pPr>
              <w:rPr>
                <w:rFonts w:cstheme="minorHAnsi"/>
                <w:b/>
                <w:bCs/>
              </w:rPr>
            </w:pPr>
            <w:r w:rsidRPr="00262854">
              <w:rPr>
                <w:rFonts w:cstheme="minorHAnsi"/>
                <w:b/>
                <w:bCs/>
              </w:rPr>
              <w:t>eGFR</w:t>
            </w:r>
          </w:p>
        </w:tc>
        <w:tc>
          <w:tcPr>
            <w:tcW w:w="7295" w:type="dxa"/>
            <w:noWrap/>
            <w:hideMark/>
          </w:tcPr>
          <w:p w14:paraId="3A7F9F40" w14:textId="77777777" w:rsidR="003B34F2" w:rsidRPr="00262854" w:rsidRDefault="003B34F2" w:rsidP="00262854">
            <w:pPr>
              <w:rPr>
                <w:rFonts w:cstheme="minorHAnsi"/>
              </w:rPr>
            </w:pPr>
            <w:r w:rsidRPr="00262854">
              <w:rPr>
                <w:rFonts w:cstheme="minorHAnsi"/>
              </w:rPr>
              <w:t>Estimated glomerular filtration rate</w:t>
            </w:r>
          </w:p>
        </w:tc>
      </w:tr>
      <w:tr w:rsidR="00262854" w:rsidRPr="00262854" w14:paraId="2065D6DF" w14:textId="77777777" w:rsidTr="0003742C">
        <w:trPr>
          <w:trHeight w:val="20"/>
        </w:trPr>
        <w:tc>
          <w:tcPr>
            <w:tcW w:w="1705" w:type="dxa"/>
            <w:noWrap/>
            <w:hideMark/>
          </w:tcPr>
          <w:p w14:paraId="1049145F" w14:textId="77777777" w:rsidR="003B34F2" w:rsidRPr="00262854" w:rsidRDefault="003B34F2" w:rsidP="00262854">
            <w:pPr>
              <w:rPr>
                <w:rFonts w:cstheme="minorHAnsi"/>
                <w:b/>
                <w:bCs/>
              </w:rPr>
            </w:pPr>
            <w:r w:rsidRPr="00262854">
              <w:rPr>
                <w:rFonts w:cstheme="minorHAnsi"/>
                <w:b/>
                <w:bCs/>
              </w:rPr>
              <w:t>FTC</w:t>
            </w:r>
          </w:p>
        </w:tc>
        <w:tc>
          <w:tcPr>
            <w:tcW w:w="7295" w:type="dxa"/>
            <w:noWrap/>
            <w:hideMark/>
          </w:tcPr>
          <w:p w14:paraId="5E9F4D50" w14:textId="77777777" w:rsidR="003B34F2" w:rsidRPr="00262854" w:rsidRDefault="003B34F2" w:rsidP="00262854">
            <w:pPr>
              <w:rPr>
                <w:rFonts w:cstheme="minorHAnsi"/>
              </w:rPr>
            </w:pPr>
            <w:r w:rsidRPr="00262854">
              <w:rPr>
                <w:rFonts w:cstheme="minorHAnsi"/>
              </w:rPr>
              <w:t>Emtricitabine</w:t>
            </w:r>
          </w:p>
        </w:tc>
      </w:tr>
      <w:tr w:rsidR="00262854" w:rsidRPr="00262854" w14:paraId="64B4E61E" w14:textId="77777777" w:rsidTr="0003742C">
        <w:trPr>
          <w:trHeight w:val="20"/>
        </w:trPr>
        <w:tc>
          <w:tcPr>
            <w:tcW w:w="1705" w:type="dxa"/>
            <w:noWrap/>
            <w:hideMark/>
          </w:tcPr>
          <w:p w14:paraId="7DF0F68F" w14:textId="77777777" w:rsidR="003B34F2" w:rsidRPr="00262854" w:rsidRDefault="003B34F2" w:rsidP="00262854">
            <w:pPr>
              <w:rPr>
                <w:rFonts w:cstheme="minorHAnsi"/>
                <w:b/>
                <w:bCs/>
              </w:rPr>
            </w:pPr>
            <w:r w:rsidRPr="00262854">
              <w:rPr>
                <w:rFonts w:cstheme="minorHAnsi"/>
                <w:b/>
                <w:bCs/>
              </w:rPr>
              <w:t>GBV</w:t>
            </w:r>
          </w:p>
        </w:tc>
        <w:tc>
          <w:tcPr>
            <w:tcW w:w="7295" w:type="dxa"/>
            <w:noWrap/>
            <w:hideMark/>
          </w:tcPr>
          <w:p w14:paraId="202FCC14" w14:textId="77777777" w:rsidR="003B34F2" w:rsidRPr="00262854" w:rsidRDefault="003B34F2" w:rsidP="00262854">
            <w:pPr>
              <w:rPr>
                <w:rFonts w:cstheme="minorHAnsi"/>
              </w:rPr>
            </w:pPr>
            <w:r w:rsidRPr="00262854">
              <w:rPr>
                <w:rFonts w:cstheme="minorHAnsi"/>
              </w:rPr>
              <w:t>Gender-based violence</w:t>
            </w:r>
          </w:p>
        </w:tc>
      </w:tr>
      <w:tr w:rsidR="00262854" w:rsidRPr="00262854" w14:paraId="62D57493" w14:textId="77777777" w:rsidTr="0003742C">
        <w:trPr>
          <w:trHeight w:val="20"/>
        </w:trPr>
        <w:tc>
          <w:tcPr>
            <w:tcW w:w="1705" w:type="dxa"/>
            <w:noWrap/>
            <w:hideMark/>
          </w:tcPr>
          <w:p w14:paraId="0AECF859" w14:textId="77777777" w:rsidR="003B34F2" w:rsidRPr="00262854" w:rsidRDefault="003B34F2" w:rsidP="00262854">
            <w:pPr>
              <w:rPr>
                <w:rFonts w:cstheme="minorHAnsi"/>
                <w:b/>
                <w:bCs/>
              </w:rPr>
            </w:pPr>
            <w:r w:rsidRPr="00262854">
              <w:rPr>
                <w:rFonts w:cstheme="minorHAnsi"/>
                <w:b/>
                <w:bCs/>
              </w:rPr>
              <w:t>GFR</w:t>
            </w:r>
          </w:p>
        </w:tc>
        <w:tc>
          <w:tcPr>
            <w:tcW w:w="7295" w:type="dxa"/>
            <w:noWrap/>
            <w:hideMark/>
          </w:tcPr>
          <w:p w14:paraId="400033F1" w14:textId="77777777" w:rsidR="003B34F2" w:rsidRPr="00262854" w:rsidRDefault="003B34F2" w:rsidP="00262854">
            <w:pPr>
              <w:rPr>
                <w:rFonts w:cstheme="minorHAnsi"/>
              </w:rPr>
            </w:pPr>
            <w:r w:rsidRPr="00262854">
              <w:rPr>
                <w:rFonts w:cstheme="minorHAnsi"/>
              </w:rPr>
              <w:t>Glomerular filtration rate</w:t>
            </w:r>
          </w:p>
        </w:tc>
      </w:tr>
      <w:tr w:rsidR="00262854" w:rsidRPr="00262854" w14:paraId="27B34BC7" w14:textId="6354902E" w:rsidTr="00605B83">
        <w:trPr>
          <w:trHeight w:val="20"/>
        </w:trPr>
        <w:tc>
          <w:tcPr>
            <w:tcW w:w="1705" w:type="dxa"/>
            <w:noWrap/>
          </w:tcPr>
          <w:p w14:paraId="30AC8500" w14:textId="0278EF01" w:rsidR="003B34F2" w:rsidRPr="00262854" w:rsidRDefault="003B34F2" w:rsidP="00262854">
            <w:pPr>
              <w:rPr>
                <w:rFonts w:cstheme="minorHAnsi"/>
                <w:b/>
                <w:bCs/>
              </w:rPr>
            </w:pPr>
            <w:r w:rsidRPr="00262854">
              <w:rPr>
                <w:rFonts w:cstheme="minorHAnsi"/>
                <w:b/>
                <w:bCs/>
              </w:rPr>
              <w:t>HIVST</w:t>
            </w:r>
          </w:p>
        </w:tc>
        <w:tc>
          <w:tcPr>
            <w:tcW w:w="7295" w:type="dxa"/>
            <w:noWrap/>
          </w:tcPr>
          <w:p w14:paraId="65772AD6" w14:textId="7475B959" w:rsidR="003B34F2" w:rsidRPr="00262854" w:rsidRDefault="003B34F2" w:rsidP="00262854">
            <w:pPr>
              <w:rPr>
                <w:rFonts w:cstheme="minorHAnsi"/>
              </w:rPr>
            </w:pPr>
            <w:r w:rsidRPr="00262854">
              <w:rPr>
                <w:rFonts w:cstheme="minorHAnsi"/>
              </w:rPr>
              <w:t>HIV self-testing</w:t>
            </w:r>
          </w:p>
        </w:tc>
      </w:tr>
      <w:tr w:rsidR="00262854" w:rsidRPr="00262854" w14:paraId="38D5F205" w14:textId="77777777" w:rsidTr="0003742C">
        <w:trPr>
          <w:trHeight w:val="20"/>
        </w:trPr>
        <w:tc>
          <w:tcPr>
            <w:tcW w:w="1705" w:type="dxa"/>
            <w:noWrap/>
            <w:hideMark/>
          </w:tcPr>
          <w:p w14:paraId="37E11DA4" w14:textId="77777777" w:rsidR="003B34F2" w:rsidRPr="00262854" w:rsidRDefault="003B34F2" w:rsidP="00262854">
            <w:pPr>
              <w:rPr>
                <w:rFonts w:cstheme="minorHAnsi"/>
                <w:b/>
                <w:bCs/>
              </w:rPr>
            </w:pPr>
            <w:r w:rsidRPr="00262854">
              <w:rPr>
                <w:rFonts w:cstheme="minorHAnsi"/>
                <w:b/>
                <w:bCs/>
              </w:rPr>
              <w:t>IPV</w:t>
            </w:r>
          </w:p>
        </w:tc>
        <w:tc>
          <w:tcPr>
            <w:tcW w:w="7295" w:type="dxa"/>
            <w:noWrap/>
            <w:hideMark/>
          </w:tcPr>
          <w:p w14:paraId="523AE7A8" w14:textId="77777777" w:rsidR="003B34F2" w:rsidRPr="00262854" w:rsidRDefault="003B34F2" w:rsidP="00262854">
            <w:pPr>
              <w:rPr>
                <w:rFonts w:cstheme="minorHAnsi"/>
              </w:rPr>
            </w:pPr>
            <w:r w:rsidRPr="00262854">
              <w:rPr>
                <w:rFonts w:cstheme="minorHAnsi"/>
              </w:rPr>
              <w:t>Intimate partner violence</w:t>
            </w:r>
          </w:p>
        </w:tc>
      </w:tr>
      <w:tr w:rsidR="00262854" w:rsidRPr="00262854" w14:paraId="6CB6CD5C" w14:textId="77777777" w:rsidTr="0003742C">
        <w:trPr>
          <w:trHeight w:val="20"/>
        </w:trPr>
        <w:tc>
          <w:tcPr>
            <w:tcW w:w="1705" w:type="dxa"/>
            <w:noWrap/>
            <w:hideMark/>
          </w:tcPr>
          <w:p w14:paraId="02B2896E" w14:textId="77777777" w:rsidR="003B34F2" w:rsidRPr="00262854" w:rsidRDefault="003B34F2" w:rsidP="00262854">
            <w:pPr>
              <w:rPr>
                <w:rFonts w:cstheme="minorHAnsi"/>
                <w:b/>
                <w:bCs/>
              </w:rPr>
            </w:pPr>
            <w:r w:rsidRPr="00262854">
              <w:rPr>
                <w:rFonts w:cstheme="minorHAnsi"/>
                <w:b/>
                <w:bCs/>
              </w:rPr>
              <w:t>ISR</w:t>
            </w:r>
          </w:p>
        </w:tc>
        <w:tc>
          <w:tcPr>
            <w:tcW w:w="7295" w:type="dxa"/>
            <w:noWrap/>
            <w:hideMark/>
          </w:tcPr>
          <w:p w14:paraId="164EEBBF" w14:textId="2C3A5D81" w:rsidR="003B34F2" w:rsidRPr="00262854" w:rsidRDefault="003B34F2" w:rsidP="00262854">
            <w:pPr>
              <w:rPr>
                <w:rFonts w:cstheme="minorHAnsi"/>
              </w:rPr>
            </w:pPr>
            <w:r w:rsidRPr="00262854">
              <w:rPr>
                <w:rFonts w:cstheme="minorHAnsi"/>
              </w:rPr>
              <w:t xml:space="preserve">Injection </w:t>
            </w:r>
            <w:r w:rsidR="004747D3" w:rsidRPr="00262854">
              <w:rPr>
                <w:rFonts w:cstheme="minorHAnsi"/>
              </w:rPr>
              <w:t>site</w:t>
            </w:r>
            <w:r w:rsidRPr="00262854">
              <w:rPr>
                <w:rFonts w:cstheme="minorHAnsi"/>
              </w:rPr>
              <w:t xml:space="preserve"> reactions</w:t>
            </w:r>
          </w:p>
        </w:tc>
      </w:tr>
      <w:tr w:rsidR="00E97460" w:rsidRPr="00262854" w14:paraId="4345ABC4" w14:textId="77777777" w:rsidTr="0003742C">
        <w:trPr>
          <w:trHeight w:val="20"/>
        </w:trPr>
        <w:tc>
          <w:tcPr>
            <w:tcW w:w="1705" w:type="dxa"/>
            <w:noWrap/>
          </w:tcPr>
          <w:p w14:paraId="205233AA" w14:textId="161C94A1" w:rsidR="00E97460" w:rsidRPr="00262854" w:rsidRDefault="00E97460" w:rsidP="00262854">
            <w:pPr>
              <w:rPr>
                <w:rFonts w:cstheme="minorHAnsi"/>
                <w:b/>
                <w:bCs/>
              </w:rPr>
            </w:pPr>
            <w:r>
              <w:rPr>
                <w:rFonts w:cstheme="minorHAnsi"/>
                <w:b/>
                <w:bCs/>
              </w:rPr>
              <w:t>LIVES</w:t>
            </w:r>
          </w:p>
        </w:tc>
        <w:tc>
          <w:tcPr>
            <w:tcW w:w="7295" w:type="dxa"/>
            <w:noWrap/>
          </w:tcPr>
          <w:p w14:paraId="0C94CB3D" w14:textId="1E550138" w:rsidR="00E97460" w:rsidRPr="00262854" w:rsidRDefault="00B011CB" w:rsidP="00262854">
            <w:pPr>
              <w:rPr>
                <w:rFonts w:cstheme="minorHAnsi"/>
              </w:rPr>
            </w:pPr>
            <w:r>
              <w:rPr>
                <w:rFonts w:cstheme="minorHAnsi"/>
              </w:rPr>
              <w:t>Listen, Inquire, Validate, Enhance safety and Support</w:t>
            </w:r>
          </w:p>
        </w:tc>
      </w:tr>
      <w:tr w:rsidR="00262854" w:rsidRPr="00262854" w14:paraId="1EB253C5" w14:textId="77777777" w:rsidTr="0003742C">
        <w:trPr>
          <w:trHeight w:val="20"/>
        </w:trPr>
        <w:tc>
          <w:tcPr>
            <w:tcW w:w="1705" w:type="dxa"/>
            <w:noWrap/>
            <w:hideMark/>
          </w:tcPr>
          <w:p w14:paraId="3BF1447F" w14:textId="77777777" w:rsidR="003B34F2" w:rsidRPr="00262854" w:rsidRDefault="003B34F2" w:rsidP="00262854">
            <w:pPr>
              <w:rPr>
                <w:rFonts w:cstheme="minorHAnsi"/>
                <w:b/>
                <w:bCs/>
              </w:rPr>
            </w:pPr>
            <w:r w:rsidRPr="00262854">
              <w:rPr>
                <w:rFonts w:cstheme="minorHAnsi"/>
                <w:b/>
                <w:bCs/>
              </w:rPr>
              <w:t>MOSAIC</w:t>
            </w:r>
          </w:p>
        </w:tc>
        <w:tc>
          <w:tcPr>
            <w:tcW w:w="7295" w:type="dxa"/>
            <w:noWrap/>
            <w:hideMark/>
          </w:tcPr>
          <w:p w14:paraId="31DDA291" w14:textId="77777777" w:rsidR="003B34F2" w:rsidRPr="00262854" w:rsidRDefault="003B34F2" w:rsidP="00262854">
            <w:pPr>
              <w:rPr>
                <w:rFonts w:cstheme="minorHAnsi"/>
              </w:rPr>
            </w:pPr>
            <w:r w:rsidRPr="00262854">
              <w:rPr>
                <w:rFonts w:cstheme="minorHAnsi"/>
              </w:rPr>
              <w:t xml:space="preserve">Maximizing Options to Advance Informed Choice for HIV Prevention </w:t>
            </w:r>
          </w:p>
        </w:tc>
      </w:tr>
      <w:tr w:rsidR="00262854" w:rsidRPr="00262854" w14:paraId="09F585E4" w14:textId="77777777" w:rsidTr="0003742C">
        <w:trPr>
          <w:trHeight w:val="20"/>
        </w:trPr>
        <w:tc>
          <w:tcPr>
            <w:tcW w:w="1705" w:type="dxa"/>
            <w:noWrap/>
            <w:hideMark/>
          </w:tcPr>
          <w:p w14:paraId="2EAB4DCF" w14:textId="77777777" w:rsidR="003B34F2" w:rsidRPr="00262854" w:rsidRDefault="003B34F2" w:rsidP="00262854">
            <w:pPr>
              <w:rPr>
                <w:rFonts w:cstheme="minorHAnsi"/>
                <w:b/>
                <w:bCs/>
              </w:rPr>
            </w:pPr>
            <w:r w:rsidRPr="00262854">
              <w:rPr>
                <w:rFonts w:cstheme="minorHAnsi"/>
                <w:b/>
                <w:bCs/>
              </w:rPr>
              <w:t>NNRTI</w:t>
            </w:r>
          </w:p>
        </w:tc>
        <w:tc>
          <w:tcPr>
            <w:tcW w:w="7295" w:type="dxa"/>
            <w:noWrap/>
            <w:hideMark/>
          </w:tcPr>
          <w:p w14:paraId="7CD4C77A" w14:textId="77777777" w:rsidR="003B34F2" w:rsidRPr="00262854" w:rsidRDefault="003B34F2" w:rsidP="00262854">
            <w:pPr>
              <w:rPr>
                <w:rFonts w:cstheme="minorHAnsi"/>
              </w:rPr>
            </w:pPr>
            <w:r w:rsidRPr="00262854">
              <w:rPr>
                <w:rFonts w:cstheme="minorHAnsi"/>
              </w:rPr>
              <w:t>Non-nucleoside reverse transcriptase inhibitor</w:t>
            </w:r>
          </w:p>
        </w:tc>
      </w:tr>
      <w:tr w:rsidR="00D3104C" w:rsidRPr="00262854" w14:paraId="1C3C4032" w14:textId="77777777" w:rsidTr="0003742C">
        <w:trPr>
          <w:trHeight w:val="20"/>
        </w:trPr>
        <w:tc>
          <w:tcPr>
            <w:tcW w:w="1705" w:type="dxa"/>
            <w:noWrap/>
          </w:tcPr>
          <w:p w14:paraId="36B55FB4" w14:textId="119E4D6C" w:rsidR="00D3104C" w:rsidRPr="00262854" w:rsidRDefault="00D3104C" w:rsidP="00262854">
            <w:pPr>
              <w:rPr>
                <w:rFonts w:cstheme="minorHAnsi"/>
                <w:b/>
                <w:bCs/>
              </w:rPr>
            </w:pPr>
            <w:r>
              <w:rPr>
                <w:rFonts w:cstheme="minorHAnsi"/>
                <w:b/>
                <w:bCs/>
              </w:rPr>
              <w:t>PEP</w:t>
            </w:r>
          </w:p>
        </w:tc>
        <w:tc>
          <w:tcPr>
            <w:tcW w:w="7295" w:type="dxa"/>
            <w:noWrap/>
          </w:tcPr>
          <w:p w14:paraId="672547B1" w14:textId="5593DEF7" w:rsidR="00D3104C" w:rsidRPr="00262854" w:rsidRDefault="00D3104C" w:rsidP="00262854">
            <w:pPr>
              <w:rPr>
                <w:rFonts w:cstheme="minorHAnsi"/>
              </w:rPr>
            </w:pPr>
            <w:r>
              <w:rPr>
                <w:rFonts w:cstheme="minorHAnsi"/>
              </w:rPr>
              <w:t>Post-exposure prophylaxis</w:t>
            </w:r>
          </w:p>
        </w:tc>
      </w:tr>
      <w:tr w:rsidR="00262854" w:rsidRPr="00262854" w14:paraId="58B13234" w14:textId="77777777" w:rsidTr="0003742C">
        <w:trPr>
          <w:trHeight w:val="20"/>
        </w:trPr>
        <w:tc>
          <w:tcPr>
            <w:tcW w:w="1705" w:type="dxa"/>
            <w:noWrap/>
            <w:hideMark/>
          </w:tcPr>
          <w:p w14:paraId="2B1E24F7" w14:textId="77777777" w:rsidR="003B34F2" w:rsidRPr="00262854" w:rsidRDefault="003B34F2" w:rsidP="00262854">
            <w:pPr>
              <w:rPr>
                <w:rFonts w:cstheme="minorHAnsi"/>
                <w:b/>
                <w:bCs/>
              </w:rPr>
            </w:pPr>
            <w:r w:rsidRPr="00262854">
              <w:rPr>
                <w:rFonts w:cstheme="minorHAnsi"/>
                <w:b/>
                <w:bCs/>
              </w:rPr>
              <w:t>PEPFAR</w:t>
            </w:r>
          </w:p>
        </w:tc>
        <w:tc>
          <w:tcPr>
            <w:tcW w:w="7295" w:type="dxa"/>
            <w:noWrap/>
            <w:hideMark/>
          </w:tcPr>
          <w:p w14:paraId="3E7CE6DB" w14:textId="77777777" w:rsidR="003B34F2" w:rsidRPr="00262854" w:rsidRDefault="003B34F2" w:rsidP="00262854">
            <w:pPr>
              <w:rPr>
                <w:rFonts w:cstheme="minorHAnsi"/>
              </w:rPr>
            </w:pPr>
            <w:r w:rsidRPr="00262854">
              <w:rPr>
                <w:rFonts w:cstheme="minorHAnsi"/>
              </w:rPr>
              <w:t>U.S. President's Emergency Plan for AIDS Relief</w:t>
            </w:r>
          </w:p>
        </w:tc>
      </w:tr>
      <w:tr w:rsidR="00262854" w:rsidRPr="00262854" w14:paraId="60EEF720" w14:textId="77777777" w:rsidTr="0003742C">
        <w:trPr>
          <w:trHeight w:val="20"/>
        </w:trPr>
        <w:tc>
          <w:tcPr>
            <w:tcW w:w="1705" w:type="dxa"/>
            <w:noWrap/>
            <w:hideMark/>
          </w:tcPr>
          <w:p w14:paraId="20DFDC25" w14:textId="77777777" w:rsidR="003B34F2" w:rsidRPr="00262854" w:rsidRDefault="003B34F2" w:rsidP="00262854">
            <w:pPr>
              <w:rPr>
                <w:rFonts w:cstheme="minorHAnsi"/>
                <w:b/>
                <w:bCs/>
              </w:rPr>
            </w:pPr>
            <w:r w:rsidRPr="00262854">
              <w:rPr>
                <w:rFonts w:cstheme="minorHAnsi"/>
                <w:b/>
                <w:bCs/>
              </w:rPr>
              <w:t>PrEP</w:t>
            </w:r>
          </w:p>
        </w:tc>
        <w:tc>
          <w:tcPr>
            <w:tcW w:w="7295" w:type="dxa"/>
            <w:noWrap/>
            <w:hideMark/>
          </w:tcPr>
          <w:p w14:paraId="470D3675" w14:textId="77777777" w:rsidR="003B34F2" w:rsidRPr="00262854" w:rsidRDefault="003B34F2" w:rsidP="00262854">
            <w:pPr>
              <w:rPr>
                <w:rFonts w:cstheme="minorHAnsi"/>
              </w:rPr>
            </w:pPr>
            <w:r w:rsidRPr="00262854">
              <w:rPr>
                <w:rFonts w:cstheme="minorHAnsi"/>
              </w:rPr>
              <w:t>Pre-exposure prophylaxis</w:t>
            </w:r>
          </w:p>
        </w:tc>
      </w:tr>
      <w:tr w:rsidR="00262854" w:rsidRPr="00262854" w14:paraId="45FA7461" w14:textId="77777777" w:rsidTr="0003742C">
        <w:trPr>
          <w:trHeight w:val="20"/>
        </w:trPr>
        <w:tc>
          <w:tcPr>
            <w:tcW w:w="1705" w:type="dxa"/>
            <w:noWrap/>
            <w:hideMark/>
          </w:tcPr>
          <w:p w14:paraId="4A8B718C" w14:textId="16D19D3E" w:rsidR="003B34F2" w:rsidRPr="00262854" w:rsidRDefault="003B34F2" w:rsidP="00262854">
            <w:pPr>
              <w:rPr>
                <w:rFonts w:cstheme="minorHAnsi"/>
                <w:b/>
                <w:bCs/>
              </w:rPr>
            </w:pPr>
            <w:r w:rsidRPr="00262854">
              <w:rPr>
                <w:rFonts w:cstheme="minorHAnsi"/>
                <w:b/>
                <w:bCs/>
              </w:rPr>
              <w:t xml:space="preserve">PrEP </w:t>
            </w:r>
            <w:r w:rsidR="009B3AE1">
              <w:rPr>
                <w:rFonts w:cstheme="minorHAnsi"/>
                <w:b/>
                <w:bCs/>
              </w:rPr>
              <w:t>r</w:t>
            </w:r>
            <w:r w:rsidRPr="00262854">
              <w:rPr>
                <w:rFonts w:cstheme="minorHAnsi"/>
                <w:b/>
                <w:bCs/>
              </w:rPr>
              <w:t>ing</w:t>
            </w:r>
          </w:p>
        </w:tc>
        <w:tc>
          <w:tcPr>
            <w:tcW w:w="7295" w:type="dxa"/>
            <w:noWrap/>
            <w:hideMark/>
          </w:tcPr>
          <w:p w14:paraId="628FE96A" w14:textId="77777777" w:rsidR="003B34F2" w:rsidRPr="00262854" w:rsidRDefault="003B34F2" w:rsidP="00262854">
            <w:pPr>
              <w:rPr>
                <w:rFonts w:cstheme="minorHAnsi"/>
              </w:rPr>
            </w:pPr>
            <w:r w:rsidRPr="00262854">
              <w:rPr>
                <w:rFonts w:cstheme="minorHAnsi"/>
              </w:rPr>
              <w:t>Dapivirine vaginal ring</w:t>
            </w:r>
          </w:p>
        </w:tc>
      </w:tr>
      <w:tr w:rsidR="00262854" w:rsidRPr="00262854" w14:paraId="7E313DD6" w14:textId="77777777" w:rsidTr="0003742C">
        <w:trPr>
          <w:trHeight w:val="20"/>
        </w:trPr>
        <w:tc>
          <w:tcPr>
            <w:tcW w:w="1705" w:type="dxa"/>
            <w:noWrap/>
            <w:hideMark/>
          </w:tcPr>
          <w:p w14:paraId="344F8428" w14:textId="77777777" w:rsidR="003B34F2" w:rsidRPr="00262854" w:rsidRDefault="003B34F2" w:rsidP="00262854">
            <w:pPr>
              <w:rPr>
                <w:rFonts w:cstheme="minorHAnsi"/>
                <w:b/>
                <w:bCs/>
              </w:rPr>
            </w:pPr>
            <w:r w:rsidRPr="00262854">
              <w:rPr>
                <w:rFonts w:cstheme="minorHAnsi"/>
                <w:b/>
                <w:bCs/>
              </w:rPr>
              <w:t>PWID</w:t>
            </w:r>
          </w:p>
        </w:tc>
        <w:tc>
          <w:tcPr>
            <w:tcW w:w="7295" w:type="dxa"/>
            <w:noWrap/>
            <w:hideMark/>
          </w:tcPr>
          <w:p w14:paraId="698DC0FB" w14:textId="77777777" w:rsidR="003B34F2" w:rsidRPr="00262854" w:rsidRDefault="003B34F2" w:rsidP="00262854">
            <w:pPr>
              <w:rPr>
                <w:rFonts w:cstheme="minorHAnsi"/>
              </w:rPr>
            </w:pPr>
            <w:r w:rsidRPr="00262854">
              <w:rPr>
                <w:rFonts w:cstheme="minorHAnsi"/>
              </w:rPr>
              <w:t>People who inject drugs</w:t>
            </w:r>
          </w:p>
        </w:tc>
      </w:tr>
      <w:tr w:rsidR="00262854" w:rsidRPr="00262854" w14:paraId="0E35610B" w14:textId="77777777" w:rsidTr="0003742C">
        <w:trPr>
          <w:trHeight w:val="20"/>
        </w:trPr>
        <w:tc>
          <w:tcPr>
            <w:tcW w:w="1705" w:type="dxa"/>
            <w:noWrap/>
            <w:hideMark/>
          </w:tcPr>
          <w:p w14:paraId="421E4715" w14:textId="77777777" w:rsidR="003B34F2" w:rsidRPr="00262854" w:rsidRDefault="003B34F2" w:rsidP="00262854">
            <w:pPr>
              <w:rPr>
                <w:rFonts w:cstheme="minorHAnsi"/>
                <w:b/>
                <w:bCs/>
              </w:rPr>
            </w:pPr>
            <w:r w:rsidRPr="00262854">
              <w:rPr>
                <w:rFonts w:cstheme="minorHAnsi"/>
                <w:b/>
                <w:bCs/>
              </w:rPr>
              <w:t>SOC</w:t>
            </w:r>
          </w:p>
        </w:tc>
        <w:tc>
          <w:tcPr>
            <w:tcW w:w="7295" w:type="dxa"/>
            <w:noWrap/>
            <w:hideMark/>
          </w:tcPr>
          <w:p w14:paraId="1E99D2B6" w14:textId="77777777" w:rsidR="003B34F2" w:rsidRPr="00262854" w:rsidRDefault="003B34F2" w:rsidP="00262854">
            <w:pPr>
              <w:rPr>
                <w:rFonts w:cstheme="minorHAnsi"/>
              </w:rPr>
            </w:pPr>
            <w:r w:rsidRPr="00262854">
              <w:rPr>
                <w:rFonts w:cstheme="minorHAnsi"/>
              </w:rPr>
              <w:t>Standard of care</w:t>
            </w:r>
          </w:p>
        </w:tc>
      </w:tr>
      <w:tr w:rsidR="00262854" w:rsidRPr="00262854" w14:paraId="20756D42" w14:textId="77777777" w:rsidTr="0003742C">
        <w:trPr>
          <w:trHeight w:val="20"/>
        </w:trPr>
        <w:tc>
          <w:tcPr>
            <w:tcW w:w="1705" w:type="dxa"/>
            <w:noWrap/>
            <w:hideMark/>
          </w:tcPr>
          <w:p w14:paraId="30D89D11" w14:textId="77777777" w:rsidR="003B34F2" w:rsidRPr="00262854" w:rsidRDefault="003B34F2" w:rsidP="00262854">
            <w:pPr>
              <w:rPr>
                <w:rFonts w:cstheme="minorHAnsi"/>
                <w:b/>
                <w:bCs/>
              </w:rPr>
            </w:pPr>
            <w:r w:rsidRPr="00262854">
              <w:rPr>
                <w:rFonts w:cstheme="minorHAnsi"/>
                <w:b/>
                <w:bCs/>
              </w:rPr>
              <w:t>STI</w:t>
            </w:r>
          </w:p>
        </w:tc>
        <w:tc>
          <w:tcPr>
            <w:tcW w:w="7295" w:type="dxa"/>
            <w:noWrap/>
            <w:hideMark/>
          </w:tcPr>
          <w:p w14:paraId="010E6641" w14:textId="77777777" w:rsidR="003B34F2" w:rsidRPr="00262854" w:rsidRDefault="003B34F2" w:rsidP="00262854">
            <w:pPr>
              <w:rPr>
                <w:rFonts w:cstheme="minorHAnsi"/>
              </w:rPr>
            </w:pPr>
            <w:r w:rsidRPr="00262854">
              <w:rPr>
                <w:rFonts w:cstheme="minorHAnsi"/>
              </w:rPr>
              <w:t>Sexually transmitted infections</w:t>
            </w:r>
          </w:p>
        </w:tc>
      </w:tr>
      <w:tr w:rsidR="00262854" w:rsidRPr="00262854" w14:paraId="087E5AFB" w14:textId="77777777" w:rsidTr="0003742C">
        <w:trPr>
          <w:trHeight w:val="20"/>
        </w:trPr>
        <w:tc>
          <w:tcPr>
            <w:tcW w:w="1705" w:type="dxa"/>
            <w:noWrap/>
            <w:hideMark/>
          </w:tcPr>
          <w:p w14:paraId="53ED45CF" w14:textId="77777777" w:rsidR="003B34F2" w:rsidRPr="00262854" w:rsidRDefault="003B34F2" w:rsidP="00262854">
            <w:pPr>
              <w:rPr>
                <w:rFonts w:cstheme="minorHAnsi"/>
                <w:b/>
                <w:bCs/>
              </w:rPr>
            </w:pPr>
            <w:r w:rsidRPr="00262854">
              <w:rPr>
                <w:rFonts w:cstheme="minorHAnsi"/>
                <w:b/>
                <w:bCs/>
              </w:rPr>
              <w:t>TB</w:t>
            </w:r>
          </w:p>
        </w:tc>
        <w:tc>
          <w:tcPr>
            <w:tcW w:w="7295" w:type="dxa"/>
            <w:noWrap/>
            <w:hideMark/>
          </w:tcPr>
          <w:p w14:paraId="509BEA75" w14:textId="3809F513" w:rsidR="003B34F2" w:rsidRPr="00262854" w:rsidRDefault="002F73A6" w:rsidP="00262854">
            <w:pPr>
              <w:rPr>
                <w:rFonts w:cstheme="minorHAnsi"/>
              </w:rPr>
            </w:pPr>
            <w:r w:rsidRPr="00262854">
              <w:rPr>
                <w:rFonts w:cstheme="minorHAnsi"/>
              </w:rPr>
              <w:t>Tuberculosis</w:t>
            </w:r>
          </w:p>
        </w:tc>
      </w:tr>
      <w:tr w:rsidR="00262854" w:rsidRPr="00262854" w14:paraId="774EC7F8" w14:textId="77777777" w:rsidTr="0003742C">
        <w:trPr>
          <w:trHeight w:val="20"/>
        </w:trPr>
        <w:tc>
          <w:tcPr>
            <w:tcW w:w="1705" w:type="dxa"/>
            <w:noWrap/>
            <w:hideMark/>
          </w:tcPr>
          <w:p w14:paraId="727505CE" w14:textId="77777777" w:rsidR="003B34F2" w:rsidRPr="00262854" w:rsidRDefault="003B34F2" w:rsidP="00262854">
            <w:pPr>
              <w:rPr>
                <w:rFonts w:cstheme="minorHAnsi"/>
                <w:b/>
                <w:bCs/>
              </w:rPr>
            </w:pPr>
            <w:r w:rsidRPr="00262854">
              <w:rPr>
                <w:rFonts w:cstheme="minorHAnsi"/>
                <w:b/>
                <w:bCs/>
              </w:rPr>
              <w:t>TDF</w:t>
            </w:r>
          </w:p>
        </w:tc>
        <w:tc>
          <w:tcPr>
            <w:tcW w:w="7295" w:type="dxa"/>
            <w:noWrap/>
            <w:hideMark/>
          </w:tcPr>
          <w:p w14:paraId="0E6C99A3" w14:textId="77777777" w:rsidR="003B34F2" w:rsidRPr="00262854" w:rsidRDefault="003B34F2" w:rsidP="00262854">
            <w:pPr>
              <w:rPr>
                <w:rFonts w:cstheme="minorHAnsi"/>
              </w:rPr>
            </w:pPr>
            <w:r w:rsidRPr="00262854">
              <w:rPr>
                <w:rFonts w:cstheme="minorHAnsi"/>
              </w:rPr>
              <w:t>Tenofovir disoproxil fumarate</w:t>
            </w:r>
          </w:p>
        </w:tc>
      </w:tr>
      <w:tr w:rsidR="00262854" w:rsidRPr="00262854" w14:paraId="14206AF6" w14:textId="77777777" w:rsidTr="0003742C">
        <w:trPr>
          <w:trHeight w:val="20"/>
        </w:trPr>
        <w:tc>
          <w:tcPr>
            <w:tcW w:w="1705" w:type="dxa"/>
            <w:noWrap/>
            <w:hideMark/>
          </w:tcPr>
          <w:p w14:paraId="072AF506" w14:textId="77777777" w:rsidR="003B34F2" w:rsidRPr="00262854" w:rsidRDefault="003B34F2" w:rsidP="00262854">
            <w:pPr>
              <w:rPr>
                <w:rFonts w:cstheme="minorHAnsi"/>
                <w:b/>
                <w:bCs/>
              </w:rPr>
            </w:pPr>
            <w:r w:rsidRPr="00262854">
              <w:rPr>
                <w:rFonts w:cstheme="minorHAnsi"/>
                <w:b/>
                <w:bCs/>
              </w:rPr>
              <w:t>USAID</w:t>
            </w:r>
          </w:p>
        </w:tc>
        <w:tc>
          <w:tcPr>
            <w:tcW w:w="7295" w:type="dxa"/>
            <w:noWrap/>
            <w:hideMark/>
          </w:tcPr>
          <w:p w14:paraId="16068B73" w14:textId="77777777" w:rsidR="003B34F2" w:rsidRPr="00262854" w:rsidRDefault="003B34F2" w:rsidP="00262854">
            <w:pPr>
              <w:rPr>
                <w:rFonts w:cstheme="minorHAnsi"/>
              </w:rPr>
            </w:pPr>
            <w:r w:rsidRPr="00262854">
              <w:rPr>
                <w:rFonts w:cstheme="minorHAnsi"/>
              </w:rPr>
              <w:t>U.S. Agency for International Development</w:t>
            </w:r>
          </w:p>
        </w:tc>
      </w:tr>
      <w:tr w:rsidR="00D66D81" w:rsidRPr="00262854" w14:paraId="7BDC39E5" w14:textId="77777777" w:rsidTr="0003742C">
        <w:trPr>
          <w:trHeight w:val="20"/>
        </w:trPr>
        <w:tc>
          <w:tcPr>
            <w:tcW w:w="1705" w:type="dxa"/>
            <w:noWrap/>
          </w:tcPr>
          <w:p w14:paraId="55EC0A0F" w14:textId="3824F09E" w:rsidR="00D45258" w:rsidRDefault="008F0133" w:rsidP="00262854">
            <w:pPr>
              <w:rPr>
                <w:rFonts w:cstheme="minorHAnsi"/>
                <w:b/>
                <w:bCs/>
              </w:rPr>
            </w:pPr>
            <w:r>
              <w:rPr>
                <w:rFonts w:cstheme="minorHAnsi"/>
                <w:b/>
                <w:bCs/>
              </w:rPr>
              <w:t>UTI</w:t>
            </w:r>
          </w:p>
          <w:p w14:paraId="4330430C" w14:textId="23AD99A5" w:rsidR="00D66D81" w:rsidRPr="00262854" w:rsidRDefault="00D66D81" w:rsidP="00262854">
            <w:pPr>
              <w:rPr>
                <w:rFonts w:cstheme="minorHAnsi"/>
                <w:b/>
                <w:bCs/>
              </w:rPr>
            </w:pPr>
            <w:r>
              <w:rPr>
                <w:rFonts w:cstheme="minorHAnsi"/>
                <w:b/>
                <w:bCs/>
              </w:rPr>
              <w:t>VMMC</w:t>
            </w:r>
          </w:p>
        </w:tc>
        <w:tc>
          <w:tcPr>
            <w:tcW w:w="7295" w:type="dxa"/>
            <w:noWrap/>
          </w:tcPr>
          <w:p w14:paraId="21311771" w14:textId="1DFCB25E" w:rsidR="008F0133" w:rsidRDefault="008F0133" w:rsidP="00262854">
            <w:pPr>
              <w:rPr>
                <w:rFonts w:cstheme="minorHAnsi"/>
              </w:rPr>
            </w:pPr>
            <w:r>
              <w:rPr>
                <w:rFonts w:cstheme="minorHAnsi"/>
              </w:rPr>
              <w:t>Urinary tract infection</w:t>
            </w:r>
          </w:p>
          <w:p w14:paraId="2D890046" w14:textId="20315FB3" w:rsidR="00D66D81" w:rsidRPr="00262854" w:rsidRDefault="00D66D81" w:rsidP="00262854">
            <w:pPr>
              <w:rPr>
                <w:rFonts w:cstheme="minorHAnsi"/>
              </w:rPr>
            </w:pPr>
            <w:r>
              <w:rPr>
                <w:rFonts w:cstheme="minorHAnsi"/>
              </w:rPr>
              <w:t>Voluntary medical male circumcision</w:t>
            </w:r>
          </w:p>
        </w:tc>
      </w:tr>
      <w:tr w:rsidR="00262854" w:rsidRPr="00262854" w14:paraId="6B6761F2" w14:textId="77777777" w:rsidTr="0003742C">
        <w:trPr>
          <w:trHeight w:val="20"/>
        </w:trPr>
        <w:tc>
          <w:tcPr>
            <w:tcW w:w="1705" w:type="dxa"/>
            <w:noWrap/>
            <w:hideMark/>
          </w:tcPr>
          <w:p w14:paraId="3AB40AFA" w14:textId="77777777" w:rsidR="003B34F2" w:rsidRPr="00262854" w:rsidRDefault="003B34F2" w:rsidP="00262854">
            <w:pPr>
              <w:rPr>
                <w:rFonts w:cstheme="minorHAnsi"/>
                <w:b/>
                <w:bCs/>
              </w:rPr>
            </w:pPr>
            <w:r w:rsidRPr="00262854">
              <w:rPr>
                <w:rFonts w:cstheme="minorHAnsi"/>
                <w:b/>
                <w:bCs/>
              </w:rPr>
              <w:t>WHO</w:t>
            </w:r>
          </w:p>
        </w:tc>
        <w:tc>
          <w:tcPr>
            <w:tcW w:w="7295" w:type="dxa"/>
            <w:noWrap/>
            <w:hideMark/>
          </w:tcPr>
          <w:p w14:paraId="2815E7B9" w14:textId="77777777" w:rsidR="003B34F2" w:rsidRPr="00262854" w:rsidRDefault="003B34F2" w:rsidP="00262854">
            <w:pPr>
              <w:rPr>
                <w:rFonts w:cstheme="minorHAnsi"/>
              </w:rPr>
            </w:pPr>
            <w:r w:rsidRPr="00262854">
              <w:rPr>
                <w:rFonts w:cstheme="minorHAnsi"/>
              </w:rPr>
              <w:t>World Health Organization</w:t>
            </w:r>
          </w:p>
        </w:tc>
      </w:tr>
    </w:tbl>
    <w:p w14:paraId="1CF10218" w14:textId="279061EE" w:rsidR="00BB5BA3" w:rsidRPr="007F47FD" w:rsidRDefault="002B0910" w:rsidP="00361799">
      <w:pPr>
        <w:pStyle w:val="Heading1"/>
        <w:rPr>
          <w:rFonts w:asciiTheme="minorHAnsi" w:hAnsiTheme="minorHAnsi" w:cstheme="minorBidi"/>
        </w:rPr>
      </w:pPr>
      <w:bookmarkStart w:id="2" w:name="_Toc182989091"/>
      <w:r w:rsidRPr="30577738">
        <w:rPr>
          <w:rFonts w:asciiTheme="minorHAnsi" w:hAnsiTheme="minorHAnsi" w:cstheme="minorBidi"/>
        </w:rPr>
        <w:lastRenderedPageBreak/>
        <w:t xml:space="preserve">Overview of </w:t>
      </w:r>
      <w:r w:rsidR="00BB5BA3" w:rsidRPr="30577738">
        <w:rPr>
          <w:rFonts w:asciiTheme="minorHAnsi" w:hAnsiTheme="minorHAnsi" w:cstheme="minorBidi"/>
        </w:rPr>
        <w:t>Pre-</w:t>
      </w:r>
      <w:r w:rsidR="006A58CA" w:rsidRPr="30577738">
        <w:rPr>
          <w:rFonts w:asciiTheme="minorHAnsi" w:hAnsiTheme="minorHAnsi" w:cstheme="minorBidi"/>
        </w:rPr>
        <w:t>e</w:t>
      </w:r>
      <w:r w:rsidR="00BB5BA3" w:rsidRPr="30577738">
        <w:rPr>
          <w:rFonts w:asciiTheme="minorHAnsi" w:hAnsiTheme="minorHAnsi" w:cstheme="minorBidi"/>
        </w:rPr>
        <w:t>xposure Prophylaxis</w:t>
      </w:r>
      <w:bookmarkEnd w:id="2"/>
    </w:p>
    <w:p w14:paraId="1D799DA3" w14:textId="386A8CD1" w:rsidR="009C2FAB" w:rsidRDefault="02F613A3" w:rsidP="7D32EE1A">
      <w:pPr>
        <w:pBdr>
          <w:top w:val="nil"/>
          <w:left w:val="nil"/>
          <w:bottom w:val="nil"/>
          <w:right w:val="nil"/>
          <w:between w:val="nil"/>
        </w:pBdr>
        <w:spacing w:after="120" w:line="240" w:lineRule="auto"/>
        <w:rPr>
          <w:color w:val="000000" w:themeColor="text1"/>
        </w:rPr>
      </w:pPr>
      <w:r w:rsidRPr="6CA23AD2">
        <w:rPr>
          <w:color w:val="000000" w:themeColor="text1"/>
        </w:rPr>
        <w:t xml:space="preserve">Pre-exposure prophylaxis (PrEP) is the preemptive use of antiretroviral (ARV) drugs </w:t>
      </w:r>
      <w:r w:rsidR="33D9A790" w:rsidRPr="6CA23AD2">
        <w:rPr>
          <w:color w:val="000000" w:themeColor="text1"/>
        </w:rPr>
        <w:t xml:space="preserve">by people who do not have HIV </w:t>
      </w:r>
      <w:r w:rsidRPr="6CA23AD2">
        <w:rPr>
          <w:color w:val="000000" w:themeColor="text1"/>
        </w:rPr>
        <w:t>to reduce the probability of</w:t>
      </w:r>
      <w:r w:rsidR="01E73A71" w:rsidRPr="6CA23AD2">
        <w:rPr>
          <w:color w:val="000000" w:themeColor="text1"/>
        </w:rPr>
        <w:t xml:space="preserve"> </w:t>
      </w:r>
      <w:r w:rsidRPr="6CA23AD2">
        <w:rPr>
          <w:color w:val="000000" w:themeColor="text1"/>
        </w:rPr>
        <w:t>HIV</w:t>
      </w:r>
      <w:r w:rsidR="4D49579E" w:rsidRPr="6CA23AD2">
        <w:rPr>
          <w:color w:val="000000" w:themeColor="text1"/>
        </w:rPr>
        <w:t xml:space="preserve"> </w:t>
      </w:r>
      <w:r w:rsidR="33D9A790" w:rsidRPr="6CA23AD2">
        <w:rPr>
          <w:color w:val="000000" w:themeColor="text1"/>
        </w:rPr>
        <w:t>acquisition</w:t>
      </w:r>
      <w:r w:rsidR="22819872" w:rsidRPr="6CA23AD2">
        <w:rPr>
          <w:color w:val="000000" w:themeColor="text1"/>
        </w:rPr>
        <w:t>.</w:t>
      </w:r>
      <w:r w:rsidRPr="6CA23AD2">
        <w:rPr>
          <w:color w:val="000000" w:themeColor="text1"/>
        </w:rPr>
        <w:t xml:space="preserve"> </w:t>
      </w:r>
      <w:r w:rsidR="7FB5F89E">
        <w:t xml:space="preserve">The level of effectiveness provided by PrEP is strongly correlated with </w:t>
      </w:r>
      <w:r w:rsidR="1D068A6D">
        <w:t>effective use</w:t>
      </w:r>
      <w:r w:rsidR="7FB5F89E">
        <w:t xml:space="preserve">, meaning it is important for </w:t>
      </w:r>
      <w:r w:rsidR="7D21E969">
        <w:t>clients</w:t>
      </w:r>
      <w:r w:rsidR="7FB5F89E">
        <w:t xml:space="preserve"> to use PrEP </w:t>
      </w:r>
      <w:r w:rsidR="6D4F0D89">
        <w:t>methods</w:t>
      </w:r>
      <w:r w:rsidR="7FB5F89E">
        <w:t xml:space="preserve"> as prescribed</w:t>
      </w:r>
      <w:r w:rsidR="1D068A6D">
        <w:t xml:space="preserve"> during periods when they may be at increased </w:t>
      </w:r>
      <w:r w:rsidR="29260A15">
        <w:t>likelihood of acquiring</w:t>
      </w:r>
      <w:r w:rsidR="1D068A6D">
        <w:t xml:space="preserve"> HIV</w:t>
      </w:r>
      <w:r w:rsidR="7FB5F89E">
        <w:t xml:space="preserve">. </w:t>
      </w:r>
      <w:r w:rsidR="7AAA117B" w:rsidRPr="6CA23AD2">
        <w:rPr>
          <w:color w:val="000000" w:themeColor="text1"/>
        </w:rPr>
        <w:t xml:space="preserve">Current </w:t>
      </w:r>
      <w:r w:rsidRPr="6CA23AD2">
        <w:rPr>
          <w:color w:val="000000" w:themeColor="text1"/>
        </w:rPr>
        <w:t xml:space="preserve">PrEP </w:t>
      </w:r>
      <w:r w:rsidR="6D4F0D89" w:rsidRPr="6CA23AD2">
        <w:rPr>
          <w:color w:val="000000" w:themeColor="text1"/>
        </w:rPr>
        <w:t>methods</w:t>
      </w:r>
      <w:r w:rsidR="7AAA117B" w:rsidRPr="6CA23AD2">
        <w:rPr>
          <w:color w:val="000000" w:themeColor="text1"/>
        </w:rPr>
        <w:t xml:space="preserve"> </w:t>
      </w:r>
      <w:r w:rsidR="1D068A6D" w:rsidRPr="6CA23AD2">
        <w:rPr>
          <w:color w:val="000000" w:themeColor="text1"/>
        </w:rPr>
        <w:t xml:space="preserve">recommended </w:t>
      </w:r>
      <w:r w:rsidR="3693CBFC" w:rsidRPr="6CA23AD2">
        <w:rPr>
          <w:color w:val="000000" w:themeColor="text1"/>
        </w:rPr>
        <w:t xml:space="preserve">by </w:t>
      </w:r>
      <w:r w:rsidR="00997FB8">
        <w:rPr>
          <w:color w:val="000000" w:themeColor="text1"/>
        </w:rPr>
        <w:t>the World Health Organization (</w:t>
      </w:r>
      <w:r w:rsidR="3693CBFC" w:rsidRPr="6CA23AD2">
        <w:rPr>
          <w:color w:val="000000" w:themeColor="text1"/>
        </w:rPr>
        <w:t>WHO</w:t>
      </w:r>
      <w:r w:rsidR="00997FB8">
        <w:rPr>
          <w:color w:val="000000" w:themeColor="text1"/>
        </w:rPr>
        <w:t>)</w:t>
      </w:r>
      <w:r w:rsidR="3693CBFC" w:rsidRPr="6CA23AD2">
        <w:rPr>
          <w:color w:val="000000" w:themeColor="text1"/>
        </w:rPr>
        <w:t xml:space="preserve"> </w:t>
      </w:r>
      <w:r w:rsidR="0C13A034" w:rsidRPr="6CA23AD2">
        <w:rPr>
          <w:color w:val="000000" w:themeColor="text1"/>
        </w:rPr>
        <w:t>do not</w:t>
      </w:r>
      <w:r w:rsidRPr="6CA23AD2">
        <w:rPr>
          <w:color w:val="000000" w:themeColor="text1"/>
        </w:rPr>
        <w:t xml:space="preserve"> prevent pregnancy or sexually transmitted infections (STIs) other than HIV. </w:t>
      </w:r>
      <w:r w:rsidR="4CA6E5C8">
        <w:t>WHO does not make any statements on minimum age</w:t>
      </w:r>
      <w:r w:rsidR="004C6A92">
        <w:t>,</w:t>
      </w:r>
      <w:r w:rsidR="4CA6E5C8">
        <w:t xml:space="preserve"> and PrEP can be used by adolescents, although additional support </w:t>
      </w:r>
      <w:r w:rsidR="004C6A92">
        <w:t xml:space="preserve">may be needed </w:t>
      </w:r>
      <w:r w:rsidR="6A26D19C">
        <w:t>for adolescents to effectively use PrEP</w:t>
      </w:r>
      <w:r w:rsidR="004C6A92">
        <w:t>,</w:t>
      </w:r>
      <w:r w:rsidR="6A26D19C">
        <w:t xml:space="preserve"> </w:t>
      </w:r>
      <w:r w:rsidR="5B57A8D8">
        <w:t xml:space="preserve">and there is a </w:t>
      </w:r>
      <w:r w:rsidR="2F2E0FD2">
        <w:t>minimum weight requirement</w:t>
      </w:r>
      <w:r w:rsidR="0216A2A8">
        <w:t xml:space="preserve"> for safety</w:t>
      </w:r>
      <w:r w:rsidR="283E2A53">
        <w:t>.</w:t>
      </w:r>
      <w:r w:rsidR="4CA6E5C8" w:rsidRPr="6CA23AD2">
        <w:rPr>
          <w:color w:val="000000" w:themeColor="text1"/>
        </w:rPr>
        <w:t xml:space="preserve"> </w:t>
      </w:r>
    </w:p>
    <w:p w14:paraId="6A8B3475" w14:textId="210A4F98" w:rsidR="002D2635" w:rsidRDefault="7E017B79" w:rsidP="7D32EE1A">
      <w:pPr>
        <w:pBdr>
          <w:top w:val="nil"/>
          <w:left w:val="nil"/>
          <w:bottom w:val="nil"/>
          <w:right w:val="nil"/>
          <w:between w:val="nil"/>
        </w:pBdr>
        <w:spacing w:after="120" w:line="240" w:lineRule="auto"/>
        <w:rPr>
          <w:color w:val="000000" w:themeColor="text1"/>
        </w:rPr>
      </w:pPr>
      <w:r w:rsidRPr="6CA23AD2">
        <w:rPr>
          <w:color w:val="000000" w:themeColor="text1"/>
        </w:rPr>
        <w:t>These guidelines focus on t</w:t>
      </w:r>
      <w:r w:rsidR="5C579F2E" w:rsidRPr="6CA23AD2">
        <w:rPr>
          <w:color w:val="000000" w:themeColor="text1"/>
        </w:rPr>
        <w:t>enofovir</w:t>
      </w:r>
      <w:r w:rsidR="1D068A6D" w:rsidRPr="6CA23AD2">
        <w:rPr>
          <w:color w:val="000000" w:themeColor="text1"/>
        </w:rPr>
        <w:t xml:space="preserve"> disoproxil fumarate (TDF)</w:t>
      </w:r>
      <w:r w:rsidR="5C579F2E" w:rsidRPr="6CA23AD2">
        <w:rPr>
          <w:color w:val="000000" w:themeColor="text1"/>
        </w:rPr>
        <w:t>-based oral PrEP</w:t>
      </w:r>
      <w:r w:rsidR="5D16E22A" w:rsidRPr="6CA23AD2">
        <w:rPr>
          <w:color w:val="000000" w:themeColor="text1"/>
        </w:rPr>
        <w:t>,</w:t>
      </w:r>
      <w:r w:rsidR="02F613A3" w:rsidRPr="6CA23AD2">
        <w:rPr>
          <w:color w:val="000000" w:themeColor="text1"/>
        </w:rPr>
        <w:t xml:space="preserve"> </w:t>
      </w:r>
      <w:r w:rsidR="5C579F2E" w:rsidRPr="6CA23AD2">
        <w:rPr>
          <w:color w:val="000000" w:themeColor="text1"/>
        </w:rPr>
        <w:t xml:space="preserve">the </w:t>
      </w:r>
      <w:r w:rsidR="5C579F2E">
        <w:t xml:space="preserve">monthly dapivirine vaginal ring </w:t>
      </w:r>
      <w:r w:rsidR="004007BF">
        <w:t>(</w:t>
      </w:r>
      <w:r w:rsidR="5C579F2E">
        <w:t>hereafter referred to as the “PrEP ring” or “the ring”</w:t>
      </w:r>
      <w:r w:rsidR="004007BF">
        <w:t>),</w:t>
      </w:r>
      <w:r w:rsidR="5D16E22A">
        <w:t xml:space="preserve"> and injectable cabotegravir</w:t>
      </w:r>
      <w:r w:rsidR="4C61CF9F">
        <w:t xml:space="preserve"> </w:t>
      </w:r>
      <w:r w:rsidR="005E0402">
        <w:t>(</w:t>
      </w:r>
      <w:r w:rsidR="4C61CF9F">
        <w:t>hereafter referred to as “</w:t>
      </w:r>
      <w:r w:rsidR="5D16E22A">
        <w:t>CAB PrEP</w:t>
      </w:r>
      <w:r w:rsidR="4C61CF9F">
        <w:t>”</w:t>
      </w:r>
      <w:r w:rsidR="005E0402">
        <w:t>)</w:t>
      </w:r>
      <w:r w:rsidR="5C579F2E">
        <w:t xml:space="preserve"> as the</w:t>
      </w:r>
      <w:r w:rsidR="02F613A3">
        <w:t xml:space="preserve"> </w:t>
      </w:r>
      <w:r w:rsidR="5D16E22A">
        <w:t xml:space="preserve">three </w:t>
      </w:r>
      <w:r w:rsidR="004E28FA">
        <w:t xml:space="preserve">PrEP </w:t>
      </w:r>
      <w:r w:rsidR="6D4F0D89">
        <w:t>methods</w:t>
      </w:r>
      <w:r w:rsidR="5C579F2E">
        <w:t xml:space="preserve"> currently recommended by WHO</w:t>
      </w:r>
      <w:r w:rsidR="3C83948E">
        <w:t xml:space="preserve"> </w:t>
      </w:r>
      <w:r w:rsidR="5AF79FC0">
        <w:t xml:space="preserve">and </w:t>
      </w:r>
      <w:r w:rsidR="02F613A3" w:rsidRPr="6CA23AD2">
        <w:rPr>
          <w:color w:val="000000" w:themeColor="text1"/>
        </w:rPr>
        <w:t xml:space="preserve">approved for use in </w:t>
      </w:r>
      <w:r w:rsidR="02F613A3" w:rsidRPr="6CA23AD2">
        <w:rPr>
          <w:color w:val="FF0000"/>
        </w:rPr>
        <w:t>[country]</w:t>
      </w:r>
      <w:r w:rsidR="02F613A3" w:rsidRPr="6CA23AD2">
        <w:rPr>
          <w:color w:val="000000" w:themeColor="text1"/>
        </w:rPr>
        <w:t>.</w:t>
      </w:r>
    </w:p>
    <w:p w14:paraId="7E0E2243" w14:textId="0DA33015" w:rsidR="00765FC5" w:rsidRPr="007F47FD" w:rsidRDefault="069B7908" w:rsidP="7D32EE1A">
      <w:pPr>
        <w:pBdr>
          <w:top w:val="nil"/>
          <w:left w:val="nil"/>
          <w:bottom w:val="nil"/>
          <w:right w:val="nil"/>
          <w:between w:val="nil"/>
        </w:pBdr>
        <w:spacing w:after="120" w:line="240" w:lineRule="auto"/>
        <w:rPr>
          <w:color w:val="000000"/>
        </w:rPr>
      </w:pPr>
      <w:r w:rsidRPr="1D9AD929">
        <w:rPr>
          <w:color w:val="000000" w:themeColor="text1"/>
        </w:rPr>
        <w:t xml:space="preserve">As more PrEP </w:t>
      </w:r>
      <w:r w:rsidR="006440BC">
        <w:rPr>
          <w:color w:val="000000" w:themeColor="text1"/>
        </w:rPr>
        <w:t>methods</w:t>
      </w:r>
      <w:r w:rsidR="006440BC" w:rsidRPr="1D9AD929">
        <w:rPr>
          <w:color w:val="000000" w:themeColor="text1"/>
        </w:rPr>
        <w:t xml:space="preserve"> </w:t>
      </w:r>
      <w:r w:rsidRPr="1D9AD929">
        <w:rPr>
          <w:color w:val="000000" w:themeColor="text1"/>
        </w:rPr>
        <w:t xml:space="preserve">become available, </w:t>
      </w:r>
      <w:r w:rsidR="006A08B5">
        <w:rPr>
          <w:color w:val="000000" w:themeColor="text1"/>
        </w:rPr>
        <w:t>informed</w:t>
      </w:r>
      <w:r w:rsidRPr="1D9AD929">
        <w:rPr>
          <w:color w:val="000000" w:themeColor="text1"/>
        </w:rPr>
        <w:t xml:space="preserve"> choice is an important factor to consider in client-provider interactions and decision-making</w:t>
      </w:r>
      <w:r w:rsidR="00AA2860">
        <w:rPr>
          <w:color w:val="000000" w:themeColor="text1"/>
        </w:rPr>
        <w:t xml:space="preserve">, especially </w:t>
      </w:r>
      <w:r w:rsidR="004F355F">
        <w:rPr>
          <w:color w:val="000000" w:themeColor="text1"/>
        </w:rPr>
        <w:t>bec</w:t>
      </w:r>
      <w:r w:rsidR="00AA2860">
        <w:rPr>
          <w:color w:val="000000" w:themeColor="text1"/>
        </w:rPr>
        <w:t>a</w:t>
      </w:r>
      <w:r w:rsidR="004F355F">
        <w:rPr>
          <w:color w:val="000000" w:themeColor="text1"/>
        </w:rPr>
        <w:t>u</w:t>
      </w:r>
      <w:r w:rsidR="00AA2860">
        <w:rPr>
          <w:color w:val="000000" w:themeColor="text1"/>
        </w:rPr>
        <w:t>s</w:t>
      </w:r>
      <w:r w:rsidR="004F355F">
        <w:rPr>
          <w:color w:val="000000" w:themeColor="text1"/>
        </w:rPr>
        <w:t>e</w:t>
      </w:r>
      <w:r w:rsidR="00AA2860">
        <w:rPr>
          <w:color w:val="000000" w:themeColor="text1"/>
        </w:rPr>
        <w:t xml:space="preserve"> clients </w:t>
      </w:r>
      <w:r w:rsidR="00544087">
        <w:rPr>
          <w:color w:val="000000" w:themeColor="text1"/>
        </w:rPr>
        <w:t xml:space="preserve">who </w:t>
      </w:r>
      <w:r w:rsidR="003521BF">
        <w:rPr>
          <w:color w:val="000000" w:themeColor="text1"/>
        </w:rPr>
        <w:t xml:space="preserve">can </w:t>
      </w:r>
      <w:r w:rsidR="00AA2860">
        <w:rPr>
          <w:color w:val="000000" w:themeColor="text1"/>
        </w:rPr>
        <w:t xml:space="preserve">choose </w:t>
      </w:r>
      <w:r w:rsidR="003521BF">
        <w:rPr>
          <w:color w:val="000000" w:themeColor="text1"/>
        </w:rPr>
        <w:t>a</w:t>
      </w:r>
      <w:r w:rsidR="00AA2860">
        <w:rPr>
          <w:color w:val="000000" w:themeColor="text1"/>
        </w:rPr>
        <w:t xml:space="preserve"> preferred product </w:t>
      </w:r>
      <w:r w:rsidR="00694B87">
        <w:rPr>
          <w:color w:val="000000" w:themeColor="text1"/>
        </w:rPr>
        <w:t xml:space="preserve">may be </w:t>
      </w:r>
      <w:r w:rsidR="00AA2860">
        <w:rPr>
          <w:color w:val="000000" w:themeColor="text1"/>
        </w:rPr>
        <w:t>more likely to use it effectively</w:t>
      </w:r>
      <w:r w:rsidR="0056012F">
        <w:rPr>
          <w:color w:val="000000" w:themeColor="text1"/>
        </w:rPr>
        <w:t>.</w:t>
      </w:r>
      <w:r w:rsidR="0069568C">
        <w:rPr>
          <w:rStyle w:val="FootnoteReference"/>
          <w:color w:val="000000" w:themeColor="text1"/>
        </w:rPr>
        <w:footnoteReference w:id="2"/>
      </w:r>
      <w:r w:rsidR="004C76F0">
        <w:rPr>
          <w:color w:val="000000" w:themeColor="text1"/>
        </w:rPr>
        <w:t xml:space="preserve"> </w:t>
      </w:r>
      <w:r w:rsidR="00C76AD7">
        <w:t>Provid</w:t>
      </w:r>
      <w:r w:rsidR="004C76F0" w:rsidRPr="1D9AD929">
        <w:t xml:space="preserve">ing additional choices for PrEP </w:t>
      </w:r>
      <w:r w:rsidR="00C76AD7">
        <w:t>and supporting clients to select their preferred methods offer</w:t>
      </w:r>
      <w:r w:rsidR="004C76F0" w:rsidRPr="1D9AD929">
        <w:t>s the potential to increase uptake and effective use of PrEP.</w:t>
      </w:r>
      <w:r w:rsidR="00A22C83">
        <w:t xml:space="preserve"> Beyond prevention of HIV acquisition, PrEP </w:t>
      </w:r>
      <w:r w:rsidR="00FB44C9">
        <w:t xml:space="preserve">also </w:t>
      </w:r>
      <w:r w:rsidR="00A22C83">
        <w:t xml:space="preserve">has </w:t>
      </w:r>
      <w:r w:rsidR="00DB559B">
        <w:t>additional</w:t>
      </w:r>
      <w:r w:rsidR="00630116">
        <w:t xml:space="preserve"> user-identified </w:t>
      </w:r>
      <w:r w:rsidR="00F52946">
        <w:t xml:space="preserve">benefits related to </w:t>
      </w:r>
      <w:r w:rsidR="00161B14">
        <w:t xml:space="preserve">emotional, social, and physical </w:t>
      </w:r>
      <w:r w:rsidR="00F52946">
        <w:t>well</w:t>
      </w:r>
      <w:r w:rsidR="002721B4">
        <w:t>-</w:t>
      </w:r>
      <w:r w:rsidR="00F52946">
        <w:t>being</w:t>
      </w:r>
      <w:r w:rsidR="00FB44C9">
        <w:t>;</w:t>
      </w:r>
      <w:r w:rsidR="00F02716">
        <w:t xml:space="preserve"> these value-based preferences also inform method selection</w:t>
      </w:r>
      <w:r w:rsidR="006117CA">
        <w:t xml:space="preserve"> and can be incorporated in s</w:t>
      </w:r>
      <w:r w:rsidR="004F3310">
        <w:t xml:space="preserve">hared-decision </w:t>
      </w:r>
      <w:r w:rsidR="006117CA">
        <w:t xml:space="preserve">counseling </w:t>
      </w:r>
      <w:r w:rsidR="004F3310">
        <w:t xml:space="preserve">that </w:t>
      </w:r>
      <w:r w:rsidR="00C31510">
        <w:t>centers a client’s desired experience</w:t>
      </w:r>
      <w:r w:rsidR="006117CA">
        <w:t xml:space="preserve"> while benefiting from PrEP.</w:t>
      </w:r>
      <w:r w:rsidR="00C31510">
        <w:t xml:space="preserve"> </w:t>
      </w:r>
      <w:r w:rsidRPr="1D9AD929">
        <w:rPr>
          <w:color w:val="000000" w:themeColor="text1"/>
        </w:rPr>
        <w:t>These guidelines include considerations for health</w:t>
      </w:r>
      <w:r w:rsidR="00197941">
        <w:rPr>
          <w:color w:val="000000" w:themeColor="text1"/>
        </w:rPr>
        <w:t xml:space="preserve"> </w:t>
      </w:r>
      <w:r w:rsidRPr="1D9AD929">
        <w:rPr>
          <w:color w:val="000000" w:themeColor="text1"/>
        </w:rPr>
        <w:t xml:space="preserve">care providers to support clients </w:t>
      </w:r>
      <w:r w:rsidR="7A97DE3A" w:rsidRPr="1D9AD929">
        <w:rPr>
          <w:color w:val="000000" w:themeColor="text1"/>
        </w:rPr>
        <w:t>in making informed choices about their preferred PrEP method</w:t>
      </w:r>
      <w:r w:rsidR="00C76AD7">
        <w:rPr>
          <w:color w:val="000000" w:themeColor="text1"/>
        </w:rPr>
        <w:t>s</w:t>
      </w:r>
      <w:r w:rsidR="7A97DE3A" w:rsidRPr="1D9AD929">
        <w:rPr>
          <w:color w:val="000000" w:themeColor="text1"/>
        </w:rPr>
        <w:t xml:space="preserve">. </w:t>
      </w:r>
      <w:r w:rsidR="008717EC">
        <w:t>If possible, multiple PrEP products should be available to allow for informed choice.</w:t>
      </w:r>
    </w:p>
    <w:p w14:paraId="3A9DCFC2" w14:textId="2AD8245B" w:rsidR="00617AF0" w:rsidRPr="007F47FD" w:rsidRDefault="0B0707B2" w:rsidP="1D9AD929">
      <w:pPr>
        <w:pStyle w:val="RISEBodyText"/>
        <w:spacing w:after="120"/>
        <w:rPr>
          <w:rFonts w:asciiTheme="minorHAnsi" w:hAnsiTheme="minorHAnsi" w:cstheme="minorBidi"/>
          <w:color w:val="auto"/>
        </w:rPr>
      </w:pPr>
      <w:r w:rsidRPr="1D9AD929">
        <w:rPr>
          <w:rFonts w:cstheme="minorBidi"/>
          <w:color w:val="000000"/>
        </w:rPr>
        <w:t xml:space="preserve">Other PrEP </w:t>
      </w:r>
      <w:r w:rsidR="72D7E5F5" w:rsidRPr="1D9AD929">
        <w:rPr>
          <w:rFonts w:cstheme="minorBidi"/>
          <w:color w:val="000000"/>
        </w:rPr>
        <w:t xml:space="preserve">products </w:t>
      </w:r>
      <w:r w:rsidRPr="1D9AD929">
        <w:rPr>
          <w:rFonts w:cstheme="minorBidi"/>
          <w:color w:val="000000"/>
        </w:rPr>
        <w:t xml:space="preserve">are being developed, tested, and reviewed. Guidance on </w:t>
      </w:r>
      <w:r w:rsidR="003E7919">
        <w:rPr>
          <w:rFonts w:cstheme="minorBidi"/>
          <w:color w:val="000000"/>
        </w:rPr>
        <w:t>additional</w:t>
      </w:r>
      <w:r w:rsidRPr="1D9AD929">
        <w:rPr>
          <w:rFonts w:cstheme="minorBidi"/>
          <w:color w:val="000000"/>
        </w:rPr>
        <w:t xml:space="preserve"> approved PrEP</w:t>
      </w:r>
      <w:r w:rsidR="37846EE2" w:rsidRPr="1D9AD929">
        <w:rPr>
          <w:rFonts w:cstheme="minorBidi"/>
          <w:color w:val="000000"/>
        </w:rPr>
        <w:t xml:space="preserve"> products</w:t>
      </w:r>
      <w:r w:rsidRPr="1D9AD929">
        <w:rPr>
          <w:rFonts w:cstheme="minorBidi"/>
          <w:color w:val="000000"/>
        </w:rPr>
        <w:t xml:space="preserve"> will be made available as appropriate. </w:t>
      </w:r>
      <w:r w:rsidR="3607F25C" w:rsidRPr="1D9AD929">
        <w:rPr>
          <w:rFonts w:asciiTheme="minorHAnsi" w:hAnsiTheme="minorHAnsi" w:cstheme="minorBidi"/>
          <w:color w:val="auto"/>
        </w:rPr>
        <w:t xml:space="preserve">PrEP </w:t>
      </w:r>
      <w:r w:rsidR="5660B858" w:rsidRPr="1D9AD929">
        <w:rPr>
          <w:rFonts w:asciiTheme="minorHAnsi" w:hAnsiTheme="minorHAnsi" w:cstheme="minorBidi"/>
          <w:color w:val="auto"/>
        </w:rPr>
        <w:t xml:space="preserve">complemented </w:t>
      </w:r>
      <w:r w:rsidR="003E7919">
        <w:rPr>
          <w:rFonts w:asciiTheme="minorHAnsi" w:hAnsiTheme="minorHAnsi" w:cstheme="minorBidi"/>
          <w:color w:val="auto"/>
        </w:rPr>
        <w:t>by</w:t>
      </w:r>
      <w:r w:rsidR="003E7919" w:rsidRPr="1D9AD929">
        <w:rPr>
          <w:rFonts w:asciiTheme="minorHAnsi" w:hAnsiTheme="minorHAnsi" w:cstheme="minorBidi"/>
          <w:color w:val="auto"/>
        </w:rPr>
        <w:t xml:space="preserve"> </w:t>
      </w:r>
      <w:r w:rsidR="3607F25C" w:rsidRPr="1D9AD929">
        <w:rPr>
          <w:rFonts w:asciiTheme="minorHAnsi" w:hAnsiTheme="minorHAnsi" w:cstheme="minorBidi"/>
          <w:color w:val="auto"/>
        </w:rPr>
        <w:t xml:space="preserve">other HIV prevention strategies, such as condom and </w:t>
      </w:r>
      <w:r w:rsidR="35BE4E2C" w:rsidRPr="1D9AD929">
        <w:rPr>
          <w:rFonts w:asciiTheme="minorHAnsi" w:hAnsiTheme="minorHAnsi" w:cstheme="minorBidi"/>
          <w:color w:val="000000"/>
        </w:rPr>
        <w:t xml:space="preserve">condom-compatible </w:t>
      </w:r>
      <w:r w:rsidR="3607F25C" w:rsidRPr="1D9AD929">
        <w:rPr>
          <w:rFonts w:asciiTheme="minorHAnsi" w:hAnsiTheme="minorHAnsi" w:cstheme="minorBidi"/>
          <w:color w:val="auto"/>
        </w:rPr>
        <w:t>lubricant use</w:t>
      </w:r>
      <w:r w:rsidR="000C3C09">
        <w:rPr>
          <w:rFonts w:asciiTheme="minorHAnsi" w:hAnsiTheme="minorHAnsi" w:cstheme="minorBidi"/>
          <w:color w:val="auto"/>
        </w:rPr>
        <w:t>;</w:t>
      </w:r>
      <w:r w:rsidR="3607F25C" w:rsidRPr="1D9AD929">
        <w:rPr>
          <w:rFonts w:asciiTheme="minorHAnsi" w:hAnsiTheme="minorHAnsi" w:cstheme="minorBidi"/>
          <w:color w:val="auto"/>
        </w:rPr>
        <w:t xml:space="preserve"> harm reduction and treatment for drug use</w:t>
      </w:r>
      <w:r w:rsidR="000C3C09">
        <w:rPr>
          <w:rFonts w:asciiTheme="minorHAnsi" w:hAnsiTheme="minorHAnsi" w:cstheme="minorBidi"/>
          <w:color w:val="auto"/>
        </w:rPr>
        <w:t>;</w:t>
      </w:r>
      <w:r w:rsidR="3607F25C" w:rsidRPr="1D9AD929">
        <w:rPr>
          <w:rFonts w:asciiTheme="minorHAnsi" w:hAnsiTheme="minorHAnsi" w:cstheme="minorBidi"/>
          <w:color w:val="auto"/>
        </w:rPr>
        <w:t xml:space="preserve"> effective antiretroviral treatment for partners living with HIV, as </w:t>
      </w:r>
      <w:r w:rsidR="04E3370B" w:rsidRPr="1D9AD929">
        <w:rPr>
          <w:rFonts w:asciiTheme="minorHAnsi" w:hAnsiTheme="minorHAnsi" w:cstheme="minorBidi"/>
          <w:color w:val="auto"/>
        </w:rPr>
        <w:t>needed</w:t>
      </w:r>
      <w:r w:rsidR="00EE2618">
        <w:rPr>
          <w:rFonts w:asciiTheme="minorHAnsi" w:hAnsiTheme="minorHAnsi" w:cstheme="minorBidi"/>
          <w:color w:val="auto"/>
        </w:rPr>
        <w:t>;</w:t>
      </w:r>
      <w:r w:rsidR="00FF3F57">
        <w:rPr>
          <w:rFonts w:asciiTheme="minorHAnsi" w:hAnsiTheme="minorHAnsi" w:cstheme="minorBidi"/>
          <w:color w:val="auto"/>
        </w:rPr>
        <w:t xml:space="preserve"> </w:t>
      </w:r>
      <w:r w:rsidR="007E786D">
        <w:rPr>
          <w:rFonts w:asciiTheme="minorHAnsi" w:hAnsiTheme="minorHAnsi" w:cstheme="minorBidi"/>
          <w:color w:val="auto"/>
        </w:rPr>
        <w:t xml:space="preserve">and </w:t>
      </w:r>
      <w:r w:rsidR="00CE1F36">
        <w:rPr>
          <w:rFonts w:asciiTheme="minorHAnsi" w:hAnsiTheme="minorHAnsi" w:cstheme="minorBidi"/>
          <w:color w:val="auto"/>
        </w:rPr>
        <w:t xml:space="preserve">provider engagement </w:t>
      </w:r>
      <w:r w:rsidR="00AF1F86">
        <w:rPr>
          <w:rFonts w:asciiTheme="minorHAnsi" w:hAnsiTheme="minorHAnsi" w:cstheme="minorBidi"/>
          <w:color w:val="auto"/>
        </w:rPr>
        <w:t xml:space="preserve">with </w:t>
      </w:r>
      <w:r w:rsidR="00601FF7">
        <w:rPr>
          <w:rFonts w:asciiTheme="minorHAnsi" w:hAnsiTheme="minorHAnsi" w:cstheme="minorBidi"/>
          <w:color w:val="auto"/>
        </w:rPr>
        <w:t>a</w:t>
      </w:r>
      <w:r w:rsidR="00AF1F86">
        <w:rPr>
          <w:rFonts w:asciiTheme="minorHAnsi" w:hAnsiTheme="minorHAnsi" w:cstheme="minorBidi"/>
          <w:color w:val="auto"/>
        </w:rPr>
        <w:t xml:space="preserve"> client to understand what support or referrals might be valuable to support effective use </w:t>
      </w:r>
      <w:r w:rsidR="00000338" w:rsidRPr="1D9AD929">
        <w:rPr>
          <w:rFonts w:asciiTheme="minorHAnsi" w:hAnsiTheme="minorHAnsi" w:cstheme="minorBidi"/>
          <w:color w:val="auto"/>
        </w:rPr>
        <w:t>can</w:t>
      </w:r>
      <w:r w:rsidR="3607F25C" w:rsidRPr="1D9AD929">
        <w:rPr>
          <w:rFonts w:asciiTheme="minorHAnsi" w:hAnsiTheme="minorHAnsi" w:cstheme="minorBidi"/>
          <w:color w:val="auto"/>
        </w:rPr>
        <w:t xml:space="preserve"> further reduce the likelihood of HIV acquisition.</w:t>
      </w:r>
      <w:r w:rsidR="00531DB2" w:rsidRPr="1D9AD929">
        <w:rPr>
          <w:rStyle w:val="FootnoteReference"/>
          <w:rFonts w:asciiTheme="minorHAnsi" w:hAnsiTheme="minorHAnsi" w:cstheme="minorBidi"/>
          <w:color w:val="auto"/>
        </w:rPr>
        <w:footnoteReference w:id="3"/>
      </w:r>
      <w:r w:rsidR="00D512A2" w:rsidRPr="002E6EFB">
        <w:rPr>
          <w:rFonts w:asciiTheme="minorHAnsi" w:hAnsiTheme="minorHAnsi" w:cstheme="minorBidi"/>
          <w:color w:val="auto"/>
          <w:vertAlign w:val="superscript"/>
        </w:rPr>
        <w:t>,</w:t>
      </w:r>
      <w:r w:rsidR="00D512A2">
        <w:rPr>
          <w:rStyle w:val="FootnoteReference"/>
          <w:rFonts w:asciiTheme="minorHAnsi" w:hAnsiTheme="minorHAnsi" w:cstheme="minorBidi"/>
          <w:color w:val="auto"/>
        </w:rPr>
        <w:footnoteReference w:id="4"/>
      </w:r>
      <w:r w:rsidR="39928AAA" w:rsidRPr="1D9AD929">
        <w:rPr>
          <w:rStyle w:val="FootnoteReference"/>
          <w:rFonts w:asciiTheme="minorHAnsi" w:hAnsiTheme="minorHAnsi" w:cstheme="minorBidi"/>
          <w:color w:val="auto"/>
        </w:rPr>
        <w:t xml:space="preserve"> </w:t>
      </w:r>
      <w:r w:rsidR="004C76F0" w:rsidRPr="1D9AD929" w:rsidDel="004C76F0">
        <w:rPr>
          <w:rFonts w:asciiTheme="minorHAnsi" w:hAnsiTheme="minorHAnsi" w:cstheme="minorBidi"/>
          <w:color w:val="auto"/>
        </w:rPr>
        <w:t xml:space="preserve"> </w:t>
      </w:r>
    </w:p>
    <w:p w14:paraId="06094F9A" w14:textId="09953533" w:rsidR="00DE1AD6" w:rsidRDefault="398DD0E6" w:rsidP="007E2C76">
      <w:r>
        <w:t xml:space="preserve">To prevent unwanted pregnancy </w:t>
      </w:r>
      <w:r w:rsidRPr="002E6EFB">
        <w:rPr>
          <w:i/>
          <w:iCs/>
        </w:rPr>
        <w:t>and</w:t>
      </w:r>
      <w:r>
        <w:t xml:space="preserve"> </w:t>
      </w:r>
      <w:r w:rsidR="00837FE8">
        <w:t>STI</w:t>
      </w:r>
      <w:r w:rsidR="004B183B">
        <w:t>s</w:t>
      </w:r>
      <w:r w:rsidR="68507625">
        <w:t xml:space="preserve"> other than HIV,</w:t>
      </w:r>
      <w:r>
        <w:t xml:space="preserve"> it is important to use PrEP in combination with condoms and condom-compatible lubricant whenever possible</w:t>
      </w:r>
      <w:r w:rsidR="006062E8">
        <w:t>. E</w:t>
      </w:r>
      <w:r w:rsidR="00BA5381">
        <w:t xml:space="preserve">ffective contraception can prevent </w:t>
      </w:r>
      <w:r w:rsidR="006A08B5">
        <w:t>unintended</w:t>
      </w:r>
      <w:r w:rsidR="00BA5381">
        <w:t xml:space="preserve"> </w:t>
      </w:r>
      <w:r w:rsidR="00837FE8">
        <w:t xml:space="preserve">pregnancy, </w:t>
      </w:r>
      <w:r w:rsidR="006062E8">
        <w:t xml:space="preserve">but </w:t>
      </w:r>
      <w:r w:rsidR="00837FE8">
        <w:t xml:space="preserve">condoms are the only method that can prevent </w:t>
      </w:r>
      <w:r w:rsidR="004B183B">
        <w:t>both pregnancy</w:t>
      </w:r>
      <w:r w:rsidR="00837FE8">
        <w:t xml:space="preserve"> and </w:t>
      </w:r>
      <w:r w:rsidR="0013363E">
        <w:t xml:space="preserve">most </w:t>
      </w:r>
      <w:r w:rsidR="00837FE8">
        <w:t>STIs</w:t>
      </w:r>
      <w:r w:rsidR="004B183B">
        <w:t xml:space="preserve"> with proper use. </w:t>
      </w:r>
    </w:p>
    <w:p w14:paraId="18856C0E" w14:textId="65184763" w:rsidR="00B30102" w:rsidRPr="007F47FD" w:rsidRDefault="00D13C2B" w:rsidP="00DD508F">
      <w:pPr>
        <w:pStyle w:val="Heading2"/>
        <w:spacing w:before="0" w:after="120" w:line="240" w:lineRule="auto"/>
        <w:rPr>
          <w:rFonts w:asciiTheme="minorHAnsi" w:hAnsiTheme="minorHAnsi" w:cstheme="minorBidi"/>
        </w:rPr>
      </w:pPr>
      <w:bookmarkStart w:id="3" w:name="_Toc182989092"/>
      <w:r w:rsidRPr="0294A27B">
        <w:rPr>
          <w:rFonts w:asciiTheme="minorHAnsi" w:hAnsiTheme="minorHAnsi" w:cstheme="minorBidi"/>
        </w:rPr>
        <w:t>Overview of Oral PrEP</w:t>
      </w:r>
      <w:bookmarkEnd w:id="3"/>
    </w:p>
    <w:p w14:paraId="2E3826A4" w14:textId="2EB08AC2" w:rsidR="002B120E" w:rsidRDefault="0B87C15F" w:rsidP="461B9A95">
      <w:pPr>
        <w:pStyle w:val="RISEBodyText"/>
        <w:spacing w:after="120"/>
        <w:rPr>
          <w:rFonts w:asciiTheme="minorHAnsi" w:hAnsiTheme="minorHAnsi" w:cstheme="minorBidi"/>
          <w:color w:val="auto"/>
        </w:rPr>
      </w:pPr>
      <w:r w:rsidRPr="461B9A95">
        <w:rPr>
          <w:rFonts w:cstheme="minorBidi"/>
          <w:color w:val="000000"/>
        </w:rPr>
        <w:t xml:space="preserve">A systematic review and meta-analysis </w:t>
      </w:r>
      <w:r w:rsidRPr="1D9AD929">
        <w:rPr>
          <w:color w:val="000000" w:themeColor="text1"/>
        </w:rPr>
        <w:t xml:space="preserve">of </w:t>
      </w:r>
      <w:r w:rsidR="7425768E" w:rsidRPr="1D9AD929">
        <w:rPr>
          <w:color w:val="000000" w:themeColor="text1"/>
        </w:rPr>
        <w:t xml:space="preserve">TDF-based </w:t>
      </w:r>
      <w:r w:rsidRPr="1D9AD929">
        <w:rPr>
          <w:color w:val="000000" w:themeColor="text1"/>
        </w:rPr>
        <w:t>oral PrEP trials demonstrated that oral PrEP is effective in reducing</w:t>
      </w:r>
      <w:r w:rsidR="5016D898" w:rsidRPr="1D9AD929">
        <w:rPr>
          <w:color w:val="000000" w:themeColor="text1"/>
        </w:rPr>
        <w:t xml:space="preserve"> </w:t>
      </w:r>
      <w:r w:rsidR="5EE67044" w:rsidRPr="1D9AD929">
        <w:rPr>
          <w:color w:val="000000" w:themeColor="text1"/>
        </w:rPr>
        <w:t xml:space="preserve">the likelihood of </w:t>
      </w:r>
      <w:r w:rsidR="5016D898" w:rsidRPr="1D9AD929">
        <w:rPr>
          <w:color w:val="000000" w:themeColor="text1"/>
        </w:rPr>
        <w:t>HIV acquisition</w:t>
      </w:r>
      <w:r w:rsidRPr="1D9AD929">
        <w:rPr>
          <w:color w:val="000000" w:themeColor="text1"/>
        </w:rPr>
        <w:t>.</w:t>
      </w:r>
      <w:r w:rsidR="004137BC">
        <w:rPr>
          <w:rStyle w:val="FootnoteReference"/>
          <w:color w:val="000000" w:themeColor="text1"/>
        </w:rPr>
        <w:footnoteReference w:id="5"/>
      </w:r>
      <w:r w:rsidRPr="1D9AD929">
        <w:rPr>
          <w:color w:val="000000" w:themeColor="text1"/>
        </w:rPr>
        <w:t xml:space="preserve"> The level of </w:t>
      </w:r>
      <w:r w:rsidR="0581B91B" w:rsidRPr="1D9AD929">
        <w:rPr>
          <w:color w:val="000000" w:themeColor="text1"/>
        </w:rPr>
        <w:t>effectiveness</w:t>
      </w:r>
      <w:r w:rsidRPr="1D9AD929">
        <w:rPr>
          <w:color w:val="000000" w:themeColor="text1"/>
        </w:rPr>
        <w:t xml:space="preserve"> did not differ by age, sex, regimen (TDF</w:t>
      </w:r>
      <w:r w:rsidR="5EE67044" w:rsidRPr="1D9AD929">
        <w:rPr>
          <w:color w:val="000000" w:themeColor="text1"/>
        </w:rPr>
        <w:t xml:space="preserve"> alone</w:t>
      </w:r>
      <w:r w:rsidRPr="1D9AD929">
        <w:rPr>
          <w:color w:val="000000" w:themeColor="text1"/>
        </w:rPr>
        <w:t xml:space="preserve"> or TDF + </w:t>
      </w:r>
      <w:r w:rsidR="00061322" w:rsidRPr="1D9AD929">
        <w:rPr>
          <w:color w:val="000000" w:themeColor="text1"/>
        </w:rPr>
        <w:t>e</w:t>
      </w:r>
      <w:r w:rsidRPr="1D9AD929">
        <w:rPr>
          <w:color w:val="000000" w:themeColor="text1"/>
        </w:rPr>
        <w:t xml:space="preserve">mtricitabine </w:t>
      </w:r>
      <w:r w:rsidR="2D4D8939" w:rsidRPr="1D9AD929">
        <w:rPr>
          <w:color w:val="000000" w:themeColor="text1"/>
        </w:rPr>
        <w:t>[</w:t>
      </w:r>
      <w:r w:rsidRPr="1D9AD929">
        <w:rPr>
          <w:color w:val="000000" w:themeColor="text1"/>
        </w:rPr>
        <w:t>FTC</w:t>
      </w:r>
      <w:r w:rsidR="2D4D8939" w:rsidRPr="1D9AD929">
        <w:rPr>
          <w:color w:val="000000" w:themeColor="text1"/>
        </w:rPr>
        <w:t>]</w:t>
      </w:r>
      <w:r w:rsidRPr="1D9AD929">
        <w:rPr>
          <w:color w:val="000000" w:themeColor="text1"/>
          <w:sz w:val="20"/>
          <w:szCs w:val="20"/>
        </w:rPr>
        <w:t>)</w:t>
      </w:r>
      <w:r w:rsidRPr="1D9AD929">
        <w:rPr>
          <w:color w:val="000000" w:themeColor="text1"/>
        </w:rPr>
        <w:t xml:space="preserve"> </w:t>
      </w:r>
      <w:r w:rsidR="2EC35A3F" w:rsidRPr="1D9AD929">
        <w:rPr>
          <w:color w:val="000000" w:themeColor="text1"/>
        </w:rPr>
        <w:t>or</w:t>
      </w:r>
      <w:r w:rsidRPr="1D9AD929">
        <w:rPr>
          <w:color w:val="000000" w:themeColor="text1"/>
        </w:rPr>
        <w:t xml:space="preserve"> mode of </w:t>
      </w:r>
      <w:r w:rsidR="1F9FA694" w:rsidRPr="1D9AD929">
        <w:rPr>
          <w:color w:val="000000" w:themeColor="text1"/>
        </w:rPr>
        <w:t>potential sexual exposure</w:t>
      </w:r>
      <w:r w:rsidRPr="1D9AD929">
        <w:rPr>
          <w:color w:val="000000" w:themeColor="text1"/>
        </w:rPr>
        <w:t xml:space="preserve"> (rectal, penile, or vaginal exposure)</w:t>
      </w:r>
      <w:r w:rsidR="4E93E6C0" w:rsidRPr="1D9AD929">
        <w:rPr>
          <w:color w:val="000000" w:themeColor="text1"/>
        </w:rPr>
        <w:t xml:space="preserve"> when </w:t>
      </w:r>
      <w:r w:rsidR="005B1EB8" w:rsidRPr="461B9A95">
        <w:rPr>
          <w:color w:val="000000" w:themeColor="text1"/>
        </w:rPr>
        <w:t xml:space="preserve">oral </w:t>
      </w:r>
      <w:r w:rsidR="003E4608">
        <w:rPr>
          <w:color w:val="000000" w:themeColor="text1"/>
        </w:rPr>
        <w:t xml:space="preserve">PrEP was </w:t>
      </w:r>
      <w:r w:rsidR="4E93E6C0" w:rsidRPr="1D9AD929">
        <w:rPr>
          <w:color w:val="000000" w:themeColor="text1"/>
        </w:rPr>
        <w:t>used as directed</w:t>
      </w:r>
      <w:r w:rsidR="76C30AEF" w:rsidRPr="1D9AD929">
        <w:rPr>
          <w:color w:val="000000" w:themeColor="text1"/>
        </w:rPr>
        <w:t>.</w:t>
      </w:r>
      <w:r w:rsidR="00B24B84">
        <w:rPr>
          <w:color w:val="000000" w:themeColor="text1"/>
        </w:rPr>
        <w:t xml:space="preserve"> There is limited evidence on oral PrEP effectiveness in parenteral </w:t>
      </w:r>
      <w:r w:rsidR="0073599D">
        <w:rPr>
          <w:color w:val="000000" w:themeColor="text1"/>
        </w:rPr>
        <w:t xml:space="preserve">exposure, </w:t>
      </w:r>
      <w:r w:rsidR="00497595">
        <w:rPr>
          <w:color w:val="000000" w:themeColor="text1"/>
        </w:rPr>
        <w:t xml:space="preserve">though </w:t>
      </w:r>
      <w:r w:rsidR="000005E7">
        <w:rPr>
          <w:color w:val="000000" w:themeColor="text1"/>
        </w:rPr>
        <w:t xml:space="preserve">pharmacokinetic modelling suggests that </w:t>
      </w:r>
      <w:r w:rsidR="00497595">
        <w:rPr>
          <w:color w:val="000000" w:themeColor="text1"/>
        </w:rPr>
        <w:t xml:space="preserve">clients with potential parenteral exposures could still benefit from </w:t>
      </w:r>
      <w:r w:rsidR="005B1EB8" w:rsidRPr="461B9A95">
        <w:rPr>
          <w:color w:val="000000" w:themeColor="text1"/>
        </w:rPr>
        <w:t xml:space="preserve">oral </w:t>
      </w:r>
      <w:r w:rsidR="00497595">
        <w:rPr>
          <w:color w:val="000000" w:themeColor="text1"/>
        </w:rPr>
        <w:t>PrEP</w:t>
      </w:r>
      <w:r w:rsidR="000005E7">
        <w:rPr>
          <w:color w:val="000000" w:themeColor="text1"/>
        </w:rPr>
        <w:t xml:space="preserve"> as an additional choice to complement comprehensive services</w:t>
      </w:r>
      <w:r w:rsidR="00D563EE">
        <w:rPr>
          <w:color w:val="000000" w:themeColor="text1"/>
        </w:rPr>
        <w:t>, including</w:t>
      </w:r>
      <w:r w:rsidR="000005E7">
        <w:rPr>
          <w:color w:val="000000" w:themeColor="text1"/>
        </w:rPr>
        <w:t xml:space="preserve"> evidence-based harm reduction services</w:t>
      </w:r>
      <w:r w:rsidR="003D0F1E">
        <w:rPr>
          <w:color w:val="000000" w:themeColor="text1"/>
        </w:rPr>
        <w:t>,</w:t>
      </w:r>
      <w:r w:rsidR="000005E7">
        <w:rPr>
          <w:color w:val="000000" w:themeColor="text1"/>
        </w:rPr>
        <w:t xml:space="preserve"> </w:t>
      </w:r>
      <w:r w:rsidR="00267644">
        <w:rPr>
          <w:color w:val="000000" w:themeColor="text1"/>
        </w:rPr>
        <w:t>for people who inject drugs</w:t>
      </w:r>
      <w:r w:rsidR="00497595">
        <w:rPr>
          <w:color w:val="000000" w:themeColor="text1"/>
        </w:rPr>
        <w:t>.</w:t>
      </w:r>
      <w:r w:rsidR="0042343D">
        <w:rPr>
          <w:rStyle w:val="FootnoteReference"/>
          <w:color w:val="000000" w:themeColor="text1"/>
        </w:rPr>
        <w:footnoteReference w:id="6"/>
      </w:r>
      <w:r w:rsidR="0042343D" w:rsidRPr="00267644">
        <w:rPr>
          <w:color w:val="000000" w:themeColor="text1"/>
          <w:vertAlign w:val="superscript"/>
        </w:rPr>
        <w:t>,</w:t>
      </w:r>
      <w:r w:rsidR="00B81FE8">
        <w:rPr>
          <w:rStyle w:val="FootnoteReference"/>
          <w:color w:val="000000" w:themeColor="text1"/>
        </w:rPr>
        <w:footnoteReference w:id="7"/>
      </w:r>
      <w:r w:rsidR="00497595">
        <w:rPr>
          <w:color w:val="000000" w:themeColor="text1"/>
        </w:rPr>
        <w:t xml:space="preserve"> </w:t>
      </w:r>
      <w:r w:rsidR="002B120E" w:rsidRPr="461B9A95">
        <w:rPr>
          <w:rFonts w:asciiTheme="minorHAnsi" w:hAnsiTheme="minorHAnsi" w:cstheme="minorBidi"/>
          <w:color w:val="auto"/>
        </w:rPr>
        <w:t xml:space="preserve">Oral PrEP may be offered as a daily regimen to prevent HIV acquisition </w:t>
      </w:r>
      <w:r w:rsidR="002B120E" w:rsidRPr="461B9A95">
        <w:rPr>
          <w:rFonts w:asciiTheme="minorHAnsi" w:hAnsiTheme="minorHAnsi" w:cstheme="minorBidi"/>
          <w:color w:val="auto"/>
        </w:rPr>
        <w:lastRenderedPageBreak/>
        <w:t xml:space="preserve">during all potential exposures for all populations. </w:t>
      </w:r>
      <w:r w:rsidR="003E126A">
        <w:rPr>
          <w:rFonts w:asciiTheme="minorHAnsi" w:hAnsiTheme="minorHAnsi" w:cstheme="minorBidi"/>
          <w:color w:val="auto"/>
        </w:rPr>
        <w:t>F</w:t>
      </w:r>
      <w:r w:rsidR="004A76C3" w:rsidRPr="004A76C3">
        <w:rPr>
          <w:rFonts w:asciiTheme="minorHAnsi" w:hAnsiTheme="minorHAnsi" w:cstheme="minorBidi"/>
          <w:color w:val="auto"/>
        </w:rPr>
        <w:t>or people assigned male at birth (AMAB) not taking exogenous estradiol-based hormones</w:t>
      </w:r>
      <w:r w:rsidR="004A76C3">
        <w:rPr>
          <w:rFonts w:asciiTheme="minorHAnsi" w:hAnsiTheme="minorHAnsi" w:cstheme="minorBidi"/>
          <w:color w:val="auto"/>
        </w:rPr>
        <w:t xml:space="preserve">, oral PrEP </w:t>
      </w:r>
      <w:r w:rsidR="002B120E" w:rsidRPr="461B9A95">
        <w:rPr>
          <w:rFonts w:asciiTheme="minorHAnsi" w:hAnsiTheme="minorHAnsi" w:cstheme="minorBidi"/>
          <w:color w:val="auto"/>
        </w:rPr>
        <w:t>may be offered for single use or infrequent event use for all potential sexual exposures.</w:t>
      </w:r>
      <w:r w:rsidR="00566A1A">
        <w:rPr>
          <w:rStyle w:val="FootnoteReference"/>
          <w:rFonts w:cs="Calibri"/>
        </w:rPr>
        <w:footnoteReference w:id="8"/>
      </w:r>
      <w:r w:rsidR="00195ABE" w:rsidRPr="00464FFC" w:rsidDel="00195ABE">
        <w:rPr>
          <w:rStyle w:val="FootnoteReference"/>
          <w:rFonts w:cs="Calibri"/>
        </w:rPr>
        <w:t xml:space="preserve"> </w:t>
      </w:r>
      <w:r w:rsidR="00566A1A" w:rsidRPr="461B9A95">
        <w:rPr>
          <w:rFonts w:cs="Calibri"/>
        </w:rPr>
        <w:t xml:space="preserve"> </w:t>
      </w:r>
      <w:r w:rsidR="002B120E" w:rsidRPr="461B9A95">
        <w:rPr>
          <w:rFonts w:asciiTheme="minorHAnsi" w:hAnsiTheme="minorHAnsi" w:cstheme="minorBidi"/>
          <w:color w:val="auto"/>
        </w:rPr>
        <w:t xml:space="preserve"> </w:t>
      </w:r>
    </w:p>
    <w:p w14:paraId="3AE1BD89" w14:textId="3B2F265D" w:rsidR="00B71860" w:rsidRPr="00EB5B7A" w:rsidRDefault="00B71860" w:rsidP="00EB5B7A">
      <w:pPr>
        <w:pStyle w:val="RISEBodyText"/>
        <w:spacing w:after="120"/>
        <w:rPr>
          <w:rFonts w:cstheme="minorBidi"/>
          <w:color w:val="000000"/>
        </w:rPr>
        <w:sectPr w:rsidR="00B71860" w:rsidRPr="00EB5B7A" w:rsidSect="00BB5BA3">
          <w:footerReference w:type="default" r:id="rId20"/>
          <w:footerReference w:type="first" r:id="rId21"/>
          <w:pgSz w:w="11906" w:h="16838"/>
          <w:pgMar w:top="720" w:right="720" w:bottom="720" w:left="720" w:header="708" w:footer="708" w:gutter="0"/>
          <w:pgNumType w:start="1"/>
          <w:cols w:space="720"/>
          <w:titlePg/>
          <w:docGrid w:linePitch="299"/>
        </w:sectPr>
      </w:pPr>
    </w:p>
    <w:p w14:paraId="2D748BB4" w14:textId="77777777" w:rsidR="004C586E" w:rsidRPr="007F47FD" w:rsidRDefault="004C586E" w:rsidP="00DD508F">
      <w:pPr>
        <w:pStyle w:val="Heading3"/>
        <w:spacing w:before="0" w:after="120" w:line="240" w:lineRule="auto"/>
        <w:rPr>
          <w:rFonts w:asciiTheme="minorHAnsi" w:hAnsiTheme="minorHAnsi" w:cstheme="minorBidi"/>
        </w:rPr>
      </w:pPr>
      <w:bookmarkStart w:id="4" w:name="_Toc182989093"/>
      <w:r w:rsidRPr="0294A27B">
        <w:rPr>
          <w:rFonts w:asciiTheme="minorHAnsi" w:hAnsiTheme="minorHAnsi" w:cstheme="minorBidi"/>
        </w:rPr>
        <w:t>Approved Drugs for Oral PrEP</w:t>
      </w:r>
      <w:bookmarkEnd w:id="4"/>
    </w:p>
    <w:p w14:paraId="08973FBB" w14:textId="4F78A4EC" w:rsidR="004C586E" w:rsidRPr="007F47FD" w:rsidRDefault="004C586E" w:rsidP="00DD508F">
      <w:pPr>
        <w:pBdr>
          <w:top w:val="nil"/>
          <w:left w:val="nil"/>
          <w:bottom w:val="nil"/>
          <w:right w:val="nil"/>
          <w:between w:val="nil"/>
        </w:pBdr>
        <w:spacing w:after="120" w:line="240" w:lineRule="auto"/>
        <w:rPr>
          <w:color w:val="FF0000"/>
        </w:rPr>
      </w:pPr>
      <w:r w:rsidRPr="0294A27B">
        <w:rPr>
          <w:color w:val="000000" w:themeColor="text1"/>
        </w:rPr>
        <w:t xml:space="preserve">In </w:t>
      </w:r>
      <w:r w:rsidRPr="0294A27B">
        <w:rPr>
          <w:color w:val="FF0000"/>
        </w:rPr>
        <w:t>[country]</w:t>
      </w:r>
      <w:r w:rsidRPr="0294A27B">
        <w:rPr>
          <w:color w:val="000000" w:themeColor="text1"/>
        </w:rPr>
        <w:t xml:space="preserve">, </w:t>
      </w:r>
      <w:r w:rsidRPr="0294A27B">
        <w:t xml:space="preserve">either </w:t>
      </w:r>
      <w:r w:rsidR="0016421C" w:rsidRPr="0294A27B">
        <w:t>t</w:t>
      </w:r>
      <w:r w:rsidRPr="0294A27B">
        <w:t>enofovir TDF 300</w:t>
      </w:r>
      <w:r w:rsidR="00DD238D" w:rsidRPr="0294A27B">
        <w:t xml:space="preserve"> </w:t>
      </w:r>
      <w:r w:rsidRPr="0294A27B">
        <w:t>mg/FTC 200</w:t>
      </w:r>
      <w:r w:rsidR="00DD238D" w:rsidRPr="0294A27B">
        <w:t xml:space="preserve"> </w:t>
      </w:r>
      <w:r w:rsidRPr="0294A27B">
        <w:t>mg or TDF 300</w:t>
      </w:r>
      <w:r w:rsidR="007E140E" w:rsidRPr="0294A27B">
        <w:t xml:space="preserve"> </w:t>
      </w:r>
      <w:r w:rsidRPr="0294A27B">
        <w:t>mg/</w:t>
      </w:r>
      <w:r w:rsidR="0016421C" w:rsidRPr="0294A27B">
        <w:t>l</w:t>
      </w:r>
      <w:r w:rsidRPr="0294A27B">
        <w:t>amivudine (3TC) 300</w:t>
      </w:r>
      <w:r w:rsidR="007E140E" w:rsidRPr="0294A27B">
        <w:t xml:space="preserve"> </w:t>
      </w:r>
      <w:r w:rsidRPr="0294A27B">
        <w:t xml:space="preserve">mg can </w:t>
      </w:r>
      <w:r w:rsidRPr="0294A27B">
        <w:rPr>
          <w:color w:val="000000" w:themeColor="text1"/>
        </w:rPr>
        <w:t>be used for oral PrEP. The</w:t>
      </w:r>
      <w:r w:rsidRPr="0294A27B">
        <w:rPr>
          <w:color w:val="000000" w:themeColor="text1"/>
          <w:sz w:val="24"/>
          <w:szCs w:val="24"/>
        </w:rPr>
        <w:t xml:space="preserve"> </w:t>
      </w:r>
      <w:r w:rsidRPr="0294A27B">
        <w:rPr>
          <w:color w:val="000000" w:themeColor="text1"/>
        </w:rPr>
        <w:t xml:space="preserve">current preferred drug for oral PrEP is </w:t>
      </w:r>
      <w:r w:rsidRPr="0294A27B">
        <w:rPr>
          <w:color w:val="FF0000"/>
        </w:rPr>
        <w:t xml:space="preserve">[TDF/FTC or TDF/3TC]. </w:t>
      </w:r>
    </w:p>
    <w:tbl>
      <w:tblPr>
        <w:tblW w:w="0" w:type="auto"/>
        <w:tblLook w:val="04A0" w:firstRow="1" w:lastRow="0" w:firstColumn="1" w:lastColumn="0" w:noHBand="0" w:noVBand="1"/>
      </w:tblPr>
      <w:tblGrid>
        <w:gridCol w:w="10456"/>
      </w:tblGrid>
      <w:tr w:rsidR="00A14823" w:rsidRPr="007F47FD" w14:paraId="21FABCDF" w14:textId="77777777" w:rsidTr="1D9AD929">
        <w:tc>
          <w:tcPr>
            <w:tcW w:w="10456" w:type="dxa"/>
            <w:shd w:val="clear" w:color="auto" w:fill="C5E0B3" w:themeFill="accent6" w:themeFillTint="66"/>
          </w:tcPr>
          <w:p w14:paraId="7B164FA7" w14:textId="653D6DFC" w:rsidR="00A14823" w:rsidRPr="007F47FD" w:rsidRDefault="0E2F67CB" w:rsidP="74385935">
            <w:pPr>
              <w:spacing w:after="120"/>
              <w:rPr>
                <w:b/>
                <w:bCs/>
                <w:color w:val="FF0000"/>
              </w:rPr>
            </w:pPr>
            <w:r w:rsidRPr="1D9AD929">
              <w:rPr>
                <w:b/>
                <w:bCs/>
              </w:rPr>
              <w:t xml:space="preserve">For </w:t>
            </w:r>
            <w:r w:rsidR="001108DD">
              <w:rPr>
                <w:b/>
                <w:bCs/>
              </w:rPr>
              <w:t>c</w:t>
            </w:r>
            <w:r w:rsidRPr="1D9AD929">
              <w:rPr>
                <w:b/>
                <w:bCs/>
              </w:rPr>
              <w:t xml:space="preserve">onsideration: </w:t>
            </w:r>
            <w:r w:rsidR="00F40617">
              <w:t>WHO recommends</w:t>
            </w:r>
            <w:r w:rsidR="0A1FA3D4">
              <w:t xml:space="preserve"> the use of </w:t>
            </w:r>
            <w:r w:rsidR="2B518726">
              <w:t>oral PrEP containing</w:t>
            </w:r>
            <w:r w:rsidR="0A1FA3D4">
              <w:t xml:space="preserve"> </w:t>
            </w:r>
            <w:r w:rsidR="549648E8">
              <w:t>TDF</w:t>
            </w:r>
            <w:r w:rsidR="0A1FA3D4">
              <w:t xml:space="preserve">. </w:t>
            </w:r>
            <w:r w:rsidR="1544E0BE">
              <w:t>M</w:t>
            </w:r>
            <w:r w:rsidR="5AF57157">
              <w:t>ost</w:t>
            </w:r>
            <w:r w:rsidR="1A47D890">
              <w:t xml:space="preserve"> national programs have adopted TDF/FTC and/or TDF/3TC</w:t>
            </w:r>
            <w:r w:rsidR="67944033">
              <w:t xml:space="preserve"> for oral PrEP</w:t>
            </w:r>
            <w:r>
              <w:t>.</w:t>
            </w:r>
            <w:r w:rsidR="001D5712">
              <w:rPr>
                <w:rStyle w:val="FootnoteReference"/>
              </w:rPr>
              <w:footnoteReference w:id="9"/>
            </w:r>
            <w:r>
              <w:t xml:space="preserve"> </w:t>
            </w:r>
            <w:r w:rsidR="00017302">
              <w:t xml:space="preserve">Note that </w:t>
            </w:r>
            <w:r>
              <w:t>TDF monotherapy may not be suitable for all populations. Emtricitabine/</w:t>
            </w:r>
            <w:r w:rsidR="54534B71">
              <w:t>t</w:t>
            </w:r>
            <w:r>
              <w:t xml:space="preserve">enofovir </w:t>
            </w:r>
            <w:r w:rsidR="54534B71">
              <w:t>a</w:t>
            </w:r>
            <w:r>
              <w:t xml:space="preserve">lafenamide (FTC/TAF) is not currently recommended </w:t>
            </w:r>
            <w:r w:rsidR="065F0760">
              <w:t xml:space="preserve">for PrEP </w:t>
            </w:r>
            <w:r>
              <w:t>by WHO</w:t>
            </w:r>
            <w:r w:rsidR="065F0760">
              <w:t>;</w:t>
            </w:r>
            <w:r>
              <w:t xml:space="preserve"> the U.S. Food and Drug Administration has approved its use </w:t>
            </w:r>
            <w:r w:rsidR="3739967E">
              <w:t xml:space="preserve">as a daily regimen </w:t>
            </w:r>
            <w:r w:rsidR="453E1BED">
              <w:t xml:space="preserve">to </w:t>
            </w:r>
            <w:r w:rsidR="37DD60EF">
              <w:t>reduce the likelihood</w:t>
            </w:r>
            <w:r>
              <w:t xml:space="preserve"> </w:t>
            </w:r>
            <w:r w:rsidR="4E9A082F">
              <w:t>of</w:t>
            </w:r>
            <w:r w:rsidR="7DE1A75E">
              <w:t xml:space="preserve"> </w:t>
            </w:r>
            <w:r w:rsidR="453E1BED">
              <w:t>sexual acquisition</w:t>
            </w:r>
            <w:r w:rsidR="37DD60EF">
              <w:t xml:space="preserve"> of HIV</w:t>
            </w:r>
            <w:r w:rsidR="453E1BED">
              <w:t xml:space="preserve">, excluding individuals </w:t>
            </w:r>
            <w:r w:rsidR="37DD60EF">
              <w:t xml:space="preserve">who may be exposed </w:t>
            </w:r>
            <w:r w:rsidR="75C959A6">
              <w:t xml:space="preserve">to HIV </w:t>
            </w:r>
            <w:r w:rsidR="37DD60EF">
              <w:t>via</w:t>
            </w:r>
            <w:r w:rsidR="44BA4A76">
              <w:t xml:space="preserve"> </w:t>
            </w:r>
            <w:r w:rsidR="453E1BED">
              <w:t>receptive vaginal sex</w:t>
            </w:r>
            <w:r>
              <w:t>.</w:t>
            </w:r>
            <w:r w:rsidR="00C953B9">
              <w:t xml:space="preserve"> </w:t>
            </w:r>
            <w:r w:rsidR="00E15AF7">
              <w:t>FTC/TAF</w:t>
            </w:r>
            <w:r w:rsidR="005E3F35">
              <w:t xml:space="preserve"> has not been approved for prevention of parenteral acquisition.</w:t>
            </w:r>
            <w:r>
              <w:t xml:space="preserve"> This document focuses only on the use of TDF/FTC and TDF/3TC for oral PrEP.</w:t>
            </w:r>
            <w:r w:rsidR="2CA6CDCF">
              <w:t xml:space="preserve"> Countries should consider including both TDF/FTC and TDF/3TC </w:t>
            </w:r>
            <w:r w:rsidR="5679A8D4">
              <w:t>as approved medications for PrEP because h</w:t>
            </w:r>
            <w:r w:rsidR="2CA6CDCF">
              <w:t xml:space="preserve">aving the option of using either set of approved drugs may be beneficial </w:t>
            </w:r>
            <w:r w:rsidR="11789FE1">
              <w:t xml:space="preserve">where first-line treatment for </w:t>
            </w:r>
            <w:r w:rsidR="4714D8F1">
              <w:t xml:space="preserve">people living with </w:t>
            </w:r>
            <w:r w:rsidR="11789FE1">
              <w:t xml:space="preserve">HIV </w:t>
            </w:r>
            <w:r w:rsidR="4130C0FD">
              <w:t xml:space="preserve">is transitioning to </w:t>
            </w:r>
            <w:r w:rsidR="44BA4A76">
              <w:t>t</w:t>
            </w:r>
            <w:r w:rsidR="2CA6CDCF">
              <w:t>enofovir</w:t>
            </w:r>
            <w:r w:rsidR="11789FE1">
              <w:t>,</w:t>
            </w:r>
            <w:r w:rsidR="2CA6CDCF">
              <w:t xml:space="preserve"> </w:t>
            </w:r>
            <w:r w:rsidR="44BA4A76">
              <w:t>l</w:t>
            </w:r>
            <w:r w:rsidR="2CA6CDCF">
              <w:t>amivudine</w:t>
            </w:r>
            <w:r w:rsidR="11789FE1">
              <w:t>, and</w:t>
            </w:r>
            <w:r w:rsidR="2CA6CDCF">
              <w:t xml:space="preserve"> </w:t>
            </w:r>
            <w:r w:rsidR="44BA4A76">
              <w:t>d</w:t>
            </w:r>
            <w:r w:rsidR="2CA6CDCF">
              <w:t>olutegravir</w:t>
            </w:r>
            <w:r w:rsidR="11789FE1">
              <w:t>,</w:t>
            </w:r>
            <w:r w:rsidR="5679A8D4">
              <w:t xml:space="preserve"> </w:t>
            </w:r>
            <w:r w:rsidR="50320F51">
              <w:t xml:space="preserve">potentially </w:t>
            </w:r>
            <w:r w:rsidR="2CA6CDCF">
              <w:t>free</w:t>
            </w:r>
            <w:r w:rsidR="6F600A01">
              <w:t>ing</w:t>
            </w:r>
            <w:r w:rsidR="2CA6CDCF">
              <w:t xml:space="preserve"> up TDF/3TC</w:t>
            </w:r>
            <w:r w:rsidR="11789FE1">
              <w:t>,</w:t>
            </w:r>
            <w:r w:rsidR="2CA6CDCF">
              <w:t xml:space="preserve"> or if supply chain challenges affect </w:t>
            </w:r>
            <w:r w:rsidR="6123A204">
              <w:t xml:space="preserve">the </w:t>
            </w:r>
            <w:r w:rsidR="2CA6CDCF">
              <w:t>availability of one of the recommended drugs.</w:t>
            </w:r>
            <w:r w:rsidR="48726C34">
              <w:t xml:space="preserve"> </w:t>
            </w:r>
          </w:p>
        </w:tc>
      </w:tr>
    </w:tbl>
    <w:p w14:paraId="2D461287" w14:textId="77777777" w:rsidR="2DD69692" w:rsidRDefault="2DD69692"/>
    <w:p w14:paraId="3FD5B34D" w14:textId="455965CF" w:rsidR="00A24DC2" w:rsidRPr="007F47FD" w:rsidRDefault="00A24DC2" w:rsidP="00096DD1">
      <w:pPr>
        <w:pStyle w:val="Heading3"/>
        <w:spacing w:before="120" w:after="120" w:line="240" w:lineRule="auto"/>
        <w:rPr>
          <w:rFonts w:asciiTheme="minorHAnsi" w:hAnsiTheme="minorHAnsi" w:cstheme="minorBidi"/>
        </w:rPr>
      </w:pPr>
      <w:bookmarkStart w:id="5" w:name="_Toc182989094"/>
      <w:r w:rsidRPr="36B73A52">
        <w:rPr>
          <w:rFonts w:asciiTheme="minorHAnsi" w:eastAsia="Calibri" w:hAnsiTheme="minorHAnsi" w:cstheme="minorBidi"/>
        </w:rPr>
        <w:t>Oral</w:t>
      </w:r>
      <w:r w:rsidRPr="0294A27B">
        <w:rPr>
          <w:rFonts w:asciiTheme="minorHAnsi" w:eastAsia="Calibri" w:hAnsiTheme="minorHAnsi" w:cstheme="minorBidi"/>
        </w:rPr>
        <w:t xml:space="preserve"> </w:t>
      </w:r>
      <w:r w:rsidRPr="0294A27B">
        <w:rPr>
          <w:rFonts w:asciiTheme="minorHAnsi" w:hAnsiTheme="minorHAnsi" w:cstheme="minorBidi"/>
        </w:rPr>
        <w:t>PrEP Effectiveness</w:t>
      </w:r>
      <w:bookmarkEnd w:id="5"/>
    </w:p>
    <w:p w14:paraId="78B21C17" w14:textId="316AC870" w:rsidR="00617AF0" w:rsidRPr="006128E4" w:rsidRDefault="53BC92EB" w:rsidP="461B9A95">
      <w:pPr>
        <w:pStyle w:val="RISEBodyText"/>
        <w:spacing w:after="120"/>
        <w:rPr>
          <w:rFonts w:asciiTheme="minorHAnsi" w:hAnsiTheme="minorHAnsi" w:cstheme="minorBidi"/>
          <w:color w:val="auto"/>
        </w:rPr>
      </w:pPr>
      <w:r w:rsidRPr="006128E4">
        <w:rPr>
          <w:rFonts w:asciiTheme="minorHAnsi" w:hAnsiTheme="minorHAnsi" w:cstheme="minorBidi"/>
          <w:color w:val="000000"/>
        </w:rPr>
        <w:t xml:space="preserve">When used as directed, oral PrEP </w:t>
      </w:r>
      <w:r w:rsidR="009D6CC3">
        <w:rPr>
          <w:rFonts w:asciiTheme="minorHAnsi" w:hAnsiTheme="minorHAnsi" w:cstheme="minorBidi"/>
          <w:color w:val="000000"/>
        </w:rPr>
        <w:t>is at least</w:t>
      </w:r>
      <w:r w:rsidRPr="00D563EE">
        <w:rPr>
          <w:rFonts w:asciiTheme="minorHAnsi" w:hAnsiTheme="minorHAnsi" w:cstheme="minorBidi"/>
          <w:color w:val="000000"/>
        </w:rPr>
        <w:t xml:space="preserve"> </w:t>
      </w:r>
      <w:r w:rsidRPr="006128E4">
        <w:rPr>
          <w:rFonts w:asciiTheme="minorHAnsi" w:hAnsiTheme="minorHAnsi" w:cstheme="minorBidi"/>
          <w:color w:val="000000"/>
        </w:rPr>
        <w:t>90%</w:t>
      </w:r>
      <w:r w:rsidR="009D6CC3">
        <w:rPr>
          <w:rFonts w:asciiTheme="minorHAnsi" w:hAnsiTheme="minorHAnsi" w:cstheme="minorBidi"/>
          <w:color w:val="000000"/>
        </w:rPr>
        <w:t xml:space="preserve"> effective (possibly as high as 94-99%)</w:t>
      </w:r>
      <w:r w:rsidR="6D9428A4" w:rsidRPr="006128E4">
        <w:rPr>
          <w:rFonts w:asciiTheme="minorHAnsi" w:hAnsiTheme="minorHAnsi" w:cstheme="minorBidi"/>
          <w:color w:val="000000"/>
        </w:rPr>
        <w:t>.</w:t>
      </w:r>
      <w:r w:rsidR="00FC5986" w:rsidRPr="006128E4">
        <w:rPr>
          <w:rStyle w:val="FootnoteReference"/>
          <w:rFonts w:asciiTheme="minorHAnsi" w:hAnsiTheme="minorHAnsi" w:cstheme="minorBidi"/>
          <w:color w:val="000000"/>
        </w:rPr>
        <w:footnoteReference w:id="10"/>
      </w:r>
      <w:r w:rsidR="516FAAFF" w:rsidRPr="006128E4">
        <w:rPr>
          <w:rFonts w:asciiTheme="minorHAnsi" w:hAnsiTheme="minorHAnsi" w:cstheme="minorBidi"/>
          <w:color w:val="000000"/>
          <w:vertAlign w:val="superscript"/>
        </w:rPr>
        <w:t>,</w:t>
      </w:r>
      <w:r w:rsidR="00E9179B" w:rsidRPr="006128E4">
        <w:rPr>
          <w:rStyle w:val="FootnoteReference"/>
          <w:rFonts w:asciiTheme="minorHAnsi" w:hAnsiTheme="minorHAnsi" w:cstheme="minorBidi"/>
          <w:color w:val="000000"/>
        </w:rPr>
        <w:footnoteReference w:id="11"/>
      </w:r>
      <w:r w:rsidR="516FAAFF" w:rsidRPr="006128E4">
        <w:rPr>
          <w:rFonts w:asciiTheme="minorHAnsi" w:hAnsiTheme="minorHAnsi" w:cstheme="minorBidi"/>
          <w:color w:val="000000"/>
          <w:vertAlign w:val="superscript"/>
        </w:rPr>
        <w:t>,</w:t>
      </w:r>
      <w:r w:rsidR="009F3FE2" w:rsidRPr="006128E4">
        <w:rPr>
          <w:rStyle w:val="FootnoteReference"/>
          <w:rFonts w:asciiTheme="minorHAnsi" w:hAnsiTheme="minorHAnsi" w:cstheme="minorBidi"/>
          <w:color w:val="000000"/>
        </w:rPr>
        <w:footnoteReference w:id="12"/>
      </w:r>
      <w:r w:rsidR="3922E4E6" w:rsidRPr="006128E4">
        <w:rPr>
          <w:rFonts w:asciiTheme="minorHAnsi" w:hAnsiTheme="minorHAnsi" w:cstheme="minorBidi"/>
          <w:color w:val="000000"/>
        </w:rPr>
        <w:t xml:space="preserve"> </w:t>
      </w:r>
      <w:r w:rsidR="003D3A20" w:rsidRPr="004366FB">
        <w:rPr>
          <w:rFonts w:cs="Calibri"/>
          <w:color w:val="000000" w:themeColor="text1"/>
        </w:rPr>
        <w:t xml:space="preserve">Oral PrEP takes approximately seven days to be maximally effective for people </w:t>
      </w:r>
      <w:r w:rsidR="004D1A35" w:rsidRPr="004366FB">
        <w:rPr>
          <w:rFonts w:cs="Calibri"/>
          <w:color w:val="000000" w:themeColor="text1"/>
        </w:rPr>
        <w:t>assigned female at birth (AFAB)</w:t>
      </w:r>
      <w:r w:rsidR="0045757B" w:rsidRPr="004366FB">
        <w:rPr>
          <w:rFonts w:cs="Calibri"/>
          <w:color w:val="000000" w:themeColor="text1"/>
        </w:rPr>
        <w:t xml:space="preserve">, people </w:t>
      </w:r>
      <w:r w:rsidR="005A5649" w:rsidRPr="004366FB">
        <w:rPr>
          <w:rFonts w:cs="Calibri"/>
          <w:color w:val="000000" w:themeColor="text1"/>
        </w:rPr>
        <w:t>AMAB</w:t>
      </w:r>
      <w:r w:rsidR="003D3A20" w:rsidRPr="004366FB">
        <w:rPr>
          <w:rFonts w:cs="Calibri"/>
          <w:color w:val="000000" w:themeColor="text1"/>
        </w:rPr>
        <w:t xml:space="preserve"> who are taking </w:t>
      </w:r>
      <w:r w:rsidR="00072598">
        <w:rPr>
          <w:rFonts w:cs="Calibri"/>
          <w:color w:val="000000" w:themeColor="text1"/>
        </w:rPr>
        <w:t>exogenous estradiol</w:t>
      </w:r>
      <w:r w:rsidR="00CF785C">
        <w:rPr>
          <w:rFonts w:cs="Calibri"/>
          <w:color w:val="000000" w:themeColor="text1"/>
        </w:rPr>
        <w:t>-based hormones</w:t>
      </w:r>
      <w:r w:rsidR="00DF2206" w:rsidRPr="006128E4">
        <w:rPr>
          <w:color w:val="000000" w:themeColor="text1"/>
        </w:rPr>
        <w:t xml:space="preserve">, </w:t>
      </w:r>
      <w:r w:rsidR="00BB3919" w:rsidRPr="006128E4">
        <w:rPr>
          <w:color w:val="000000" w:themeColor="text1"/>
        </w:rPr>
        <w:t>and anyone using it for parenteral exposures</w:t>
      </w:r>
      <w:r w:rsidR="00E056B8">
        <w:rPr>
          <w:color w:val="000000" w:themeColor="text1"/>
        </w:rPr>
        <w:t xml:space="preserve">. </w:t>
      </w:r>
      <w:r w:rsidR="00E056B8" w:rsidRPr="006128E4">
        <w:rPr>
          <w:rFonts w:asciiTheme="minorHAnsi" w:hAnsiTheme="minorHAnsi" w:cstheme="minorBidi"/>
          <w:color w:val="auto"/>
        </w:rPr>
        <w:t>Among</w:t>
      </w:r>
      <w:r w:rsidR="00E056B8" w:rsidRPr="006128E4">
        <w:rPr>
          <w:rFonts w:asciiTheme="minorHAnsi" w:hAnsiTheme="minorHAnsi" w:cstheme="minorBidi"/>
          <w:color w:val="000000" w:themeColor="text1"/>
        </w:rPr>
        <w:t xml:space="preserve"> people</w:t>
      </w:r>
      <w:r w:rsidR="00E056B8" w:rsidRPr="006128E4">
        <w:rPr>
          <w:rFonts w:asciiTheme="minorHAnsi" w:hAnsiTheme="minorHAnsi" w:cstheme="minorBidi"/>
          <w:color w:val="000000"/>
        </w:rPr>
        <w:t xml:space="preserve"> AMAB who are not using </w:t>
      </w:r>
      <w:r w:rsidR="00CF785C">
        <w:rPr>
          <w:rFonts w:asciiTheme="minorHAnsi" w:hAnsiTheme="minorHAnsi" w:cstheme="minorBidi"/>
          <w:color w:val="000000" w:themeColor="text1"/>
        </w:rPr>
        <w:t>exogenous estradiol-based hormones</w:t>
      </w:r>
      <w:r w:rsidR="00E056B8" w:rsidRPr="006128E4">
        <w:rPr>
          <w:rFonts w:asciiTheme="minorHAnsi" w:hAnsiTheme="minorHAnsi" w:cstheme="minorBidi"/>
          <w:color w:val="000000"/>
        </w:rPr>
        <w:t>,</w:t>
      </w:r>
      <w:r w:rsidR="00E056B8" w:rsidRPr="006128E4">
        <w:rPr>
          <w:rFonts w:asciiTheme="minorHAnsi" w:hAnsiTheme="minorHAnsi" w:cstheme="minorBidi"/>
          <w:color w:val="auto"/>
        </w:rPr>
        <w:t xml:space="preserve"> a second dosing regimen for single or infrequent event use is similarly effective at reducing the likelihood of HIV acquisition through sexual transmission.</w:t>
      </w:r>
      <w:r w:rsidR="00E056B8" w:rsidRPr="006128E4">
        <w:rPr>
          <w:rStyle w:val="FootnoteReference"/>
          <w:rFonts w:asciiTheme="minorHAnsi" w:hAnsiTheme="minorHAnsi" w:cstheme="minorBidi"/>
          <w:color w:val="auto"/>
        </w:rPr>
        <w:footnoteReference w:id="13"/>
      </w:r>
      <w:r w:rsidR="00E056B8" w:rsidRPr="006128E4">
        <w:rPr>
          <w:rFonts w:asciiTheme="minorHAnsi" w:hAnsiTheme="minorHAnsi" w:cstheme="minorBidi"/>
          <w:color w:val="auto"/>
          <w:vertAlign w:val="superscript"/>
        </w:rPr>
        <w:t>,</w:t>
      </w:r>
      <w:r w:rsidR="00E056B8" w:rsidRPr="006128E4">
        <w:rPr>
          <w:rStyle w:val="FootnoteReference"/>
          <w:rFonts w:asciiTheme="minorHAnsi" w:hAnsiTheme="minorHAnsi" w:cstheme="minorBidi"/>
          <w:color w:val="auto"/>
        </w:rPr>
        <w:footnoteReference w:id="14"/>
      </w:r>
      <w:r w:rsidR="00E056B8" w:rsidRPr="006128E4">
        <w:rPr>
          <w:rFonts w:asciiTheme="minorHAnsi" w:hAnsiTheme="minorHAnsi" w:cstheme="minorBidi"/>
          <w:color w:val="auto"/>
        </w:rPr>
        <w:t xml:space="preserve"> With this regimen, which begins with taking a “loading” dose of two pills</w:t>
      </w:r>
      <w:r w:rsidR="00E056B8">
        <w:rPr>
          <w:rFonts w:asciiTheme="minorHAnsi" w:hAnsiTheme="minorHAnsi" w:cstheme="minorBidi"/>
          <w:color w:val="auto"/>
        </w:rPr>
        <w:t xml:space="preserve"> </w:t>
      </w:r>
      <w:r w:rsidR="00E056B8" w:rsidRPr="00774762">
        <w:rPr>
          <w:rFonts w:cs="Calibri"/>
          <w:color w:val="000000" w:themeColor="text1"/>
        </w:rPr>
        <w:t>oral PrEP is maximally effective after 24 hours</w:t>
      </w:r>
      <w:r w:rsidR="00E056B8">
        <w:rPr>
          <w:rFonts w:cs="Calibri"/>
          <w:color w:val="000000" w:themeColor="text1"/>
        </w:rPr>
        <w:t>.</w:t>
      </w:r>
      <w:r w:rsidR="00E056B8" w:rsidRPr="00E056B8">
        <w:rPr>
          <w:rStyle w:val="FootnoteReference"/>
          <w:color w:val="000000" w:themeColor="text1"/>
        </w:rPr>
        <w:t xml:space="preserve"> </w:t>
      </w:r>
      <w:r w:rsidR="00E056B8" w:rsidRPr="00774762">
        <w:rPr>
          <w:rStyle w:val="FootnoteReference"/>
          <w:color w:val="000000" w:themeColor="text1"/>
        </w:rPr>
        <w:footnoteReference w:id="15"/>
      </w:r>
      <w:r w:rsidR="00BB3919" w:rsidRPr="006128E4">
        <w:rPr>
          <w:color w:val="000000" w:themeColor="text1"/>
        </w:rPr>
        <w:t xml:space="preserve"> </w:t>
      </w:r>
    </w:p>
    <w:p w14:paraId="2E6948E4" w14:textId="5427A7CC" w:rsidR="00F47FBB" w:rsidRPr="007F47FD" w:rsidRDefault="001F6779" w:rsidP="00DD508F">
      <w:pPr>
        <w:pStyle w:val="Heading3"/>
        <w:spacing w:before="0" w:after="120" w:line="240" w:lineRule="auto"/>
        <w:rPr>
          <w:rFonts w:asciiTheme="minorHAnsi" w:hAnsiTheme="minorHAnsi" w:cstheme="minorBidi"/>
        </w:rPr>
      </w:pPr>
      <w:bookmarkStart w:id="6" w:name="_Toc182989095"/>
      <w:r w:rsidRPr="62174829">
        <w:rPr>
          <w:rFonts w:asciiTheme="minorHAnsi" w:hAnsiTheme="minorHAnsi" w:cstheme="minorBidi"/>
        </w:rPr>
        <w:t>Potential</w:t>
      </w:r>
      <w:r w:rsidRPr="62174829" w:rsidDel="000D6885">
        <w:rPr>
          <w:rFonts w:asciiTheme="minorHAnsi" w:hAnsiTheme="minorHAnsi" w:cstheme="minorBidi"/>
        </w:rPr>
        <w:t xml:space="preserve"> </w:t>
      </w:r>
      <w:r w:rsidR="00F47FBB" w:rsidRPr="62174829" w:rsidDel="000D6885">
        <w:rPr>
          <w:rFonts w:asciiTheme="minorHAnsi" w:hAnsiTheme="minorHAnsi" w:cstheme="minorBidi"/>
        </w:rPr>
        <w:t xml:space="preserve">Side Effects of </w:t>
      </w:r>
      <w:r w:rsidR="00F47FBB" w:rsidRPr="62174829">
        <w:rPr>
          <w:rFonts w:asciiTheme="minorHAnsi" w:hAnsiTheme="minorHAnsi" w:cstheme="minorBidi"/>
        </w:rPr>
        <w:t>Oral PrEP</w:t>
      </w:r>
      <w:bookmarkEnd w:id="6"/>
    </w:p>
    <w:p w14:paraId="181E209C" w14:textId="65E57AAE" w:rsidR="00F47FBB" w:rsidRPr="007F47FD" w:rsidRDefault="00C850CC" w:rsidP="00DD508F">
      <w:pPr>
        <w:spacing w:after="120" w:line="240" w:lineRule="auto"/>
      </w:pPr>
      <w:r w:rsidRPr="007F47FD">
        <w:t>Approximately 10 percent of people may experience side effects</w:t>
      </w:r>
      <w:r w:rsidR="00D1341B">
        <w:t xml:space="preserve"> of </w:t>
      </w:r>
      <w:r w:rsidR="00CA7295">
        <w:t>oral PrEP use</w:t>
      </w:r>
      <w:r w:rsidRPr="007F47FD">
        <w:t xml:space="preserve">, </w:t>
      </w:r>
      <w:r w:rsidR="00CA7295">
        <w:t>which are</w:t>
      </w:r>
      <w:r w:rsidRPr="007F47FD">
        <w:t xml:space="preserve"> mostly mild, </w:t>
      </w:r>
      <w:r w:rsidR="00F47FBB" w:rsidRPr="007F47FD">
        <w:t>including: </w:t>
      </w:r>
    </w:p>
    <w:p w14:paraId="56D5B100" w14:textId="77777777" w:rsidR="00F47FBB" w:rsidRPr="007F47FD" w:rsidRDefault="00F47FBB" w:rsidP="00391C93">
      <w:pPr>
        <w:numPr>
          <w:ilvl w:val="0"/>
          <w:numId w:val="10"/>
        </w:numPr>
        <w:spacing w:after="120" w:line="240" w:lineRule="auto"/>
        <w:rPr>
          <w:rFonts w:cstheme="minorHAnsi"/>
        </w:rPr>
      </w:pPr>
      <w:r w:rsidRPr="007F47FD">
        <w:rPr>
          <w:rFonts w:cstheme="minorHAnsi"/>
        </w:rPr>
        <w:t>Gastrointestinal symptoms (diarrhea and nausea, decreased appetite, abdominal cramping, and flatulence)</w:t>
      </w:r>
    </w:p>
    <w:p w14:paraId="5EF42CE8" w14:textId="77777777" w:rsidR="00F47FBB" w:rsidRPr="007F47FD" w:rsidRDefault="00F47FBB" w:rsidP="00391C93">
      <w:pPr>
        <w:numPr>
          <w:ilvl w:val="0"/>
          <w:numId w:val="10"/>
        </w:numPr>
        <w:spacing w:after="120" w:line="240" w:lineRule="auto"/>
        <w:rPr>
          <w:rFonts w:cstheme="minorHAnsi"/>
        </w:rPr>
      </w:pPr>
      <w:r w:rsidRPr="007F47FD">
        <w:rPr>
          <w:rFonts w:cstheme="minorHAnsi"/>
        </w:rPr>
        <w:t>Dizziness</w:t>
      </w:r>
    </w:p>
    <w:p w14:paraId="586BAD4D" w14:textId="77777777" w:rsidR="00F47FBB" w:rsidRPr="007F47FD" w:rsidRDefault="00F47FBB" w:rsidP="00391C93">
      <w:pPr>
        <w:numPr>
          <w:ilvl w:val="0"/>
          <w:numId w:val="10"/>
        </w:numPr>
        <w:spacing w:after="120" w:line="240" w:lineRule="auto"/>
        <w:rPr>
          <w:rFonts w:cstheme="minorHAnsi"/>
        </w:rPr>
      </w:pPr>
      <w:r w:rsidRPr="007F47FD">
        <w:rPr>
          <w:rFonts w:cstheme="minorHAnsi"/>
        </w:rPr>
        <w:t>Headaches</w:t>
      </w:r>
    </w:p>
    <w:p w14:paraId="35E447D4" w14:textId="664E9DCA" w:rsidR="00F47FBB" w:rsidRPr="007F47FD" w:rsidRDefault="00F47FBB" w:rsidP="00DD508F">
      <w:pPr>
        <w:spacing w:after="120" w:line="240" w:lineRule="auto"/>
      </w:pPr>
      <w:r w:rsidRPr="62174829">
        <w:t xml:space="preserve">Most of </w:t>
      </w:r>
      <w:r w:rsidR="2ABEE1EF" w:rsidRPr="62174829">
        <w:t>th</w:t>
      </w:r>
      <w:r w:rsidR="476ED246" w:rsidRPr="62174829">
        <w:t>e</w:t>
      </w:r>
      <w:r w:rsidR="2ABEE1EF" w:rsidRPr="62174829">
        <w:t>se</w:t>
      </w:r>
      <w:r w:rsidRPr="62174829">
        <w:t xml:space="preserve"> side effects </w:t>
      </w:r>
      <w:r w:rsidR="6900000D" w:rsidRPr="62174829">
        <w:t>resolve</w:t>
      </w:r>
      <w:r w:rsidRPr="62174829">
        <w:t xml:space="preserve"> within one month</w:t>
      </w:r>
      <w:r w:rsidR="006146DF">
        <w:t xml:space="preserve"> of continued use</w:t>
      </w:r>
      <w:r w:rsidRPr="62174829">
        <w:t xml:space="preserve">. </w:t>
      </w:r>
      <w:r w:rsidR="00AE66A2">
        <w:t>Decreased kidney function</w:t>
      </w:r>
      <w:r w:rsidR="00C35FDA">
        <w:t xml:space="preserve">, though rare, is another potential side effect. </w:t>
      </w:r>
    </w:p>
    <w:p w14:paraId="5860C23F" w14:textId="743C99D6" w:rsidR="007717C7" w:rsidRDefault="00C57947" w:rsidP="007717C7">
      <w:pPr>
        <w:pStyle w:val="NoSpacing"/>
      </w:pPr>
      <w:r w:rsidRPr="0294A27B">
        <w:lastRenderedPageBreak/>
        <w:t>I</w:t>
      </w:r>
      <w:r w:rsidR="00701D71" w:rsidRPr="0294A27B">
        <w:t xml:space="preserve">ndividuals who are counseled on potential side effects are more likely to continue oral PrEP and use it effectively. </w:t>
      </w:r>
      <w:r w:rsidR="001F6779" w:rsidRPr="0294A27B">
        <w:rPr>
          <w:bdr w:val="none" w:sz="0" w:space="0" w:color="auto" w:frame="1"/>
        </w:rPr>
        <w:t xml:space="preserve">For information on less common side effects, review the product label. </w:t>
      </w:r>
    </w:p>
    <w:p w14:paraId="1CFB06DD" w14:textId="77777777" w:rsidR="007717C7" w:rsidRDefault="007717C7" w:rsidP="007717C7">
      <w:pPr>
        <w:pStyle w:val="NoSpacing"/>
        <w:rPr>
          <w:bdr w:val="none" w:sz="0" w:space="0" w:color="auto" w:frame="1"/>
        </w:rPr>
      </w:pPr>
    </w:p>
    <w:p w14:paraId="455F5DDF" w14:textId="2068325C" w:rsidR="00AC70BA" w:rsidRPr="007F47FD" w:rsidRDefault="00AC70BA" w:rsidP="00DD508F">
      <w:pPr>
        <w:pStyle w:val="Heading3"/>
        <w:spacing w:before="0" w:after="120" w:line="240" w:lineRule="auto"/>
        <w:rPr>
          <w:rFonts w:asciiTheme="minorHAnsi" w:hAnsiTheme="minorHAnsi" w:cstheme="minorBidi"/>
        </w:rPr>
      </w:pPr>
      <w:bookmarkStart w:id="7" w:name="_Toc182989096"/>
      <w:r w:rsidRPr="0294A27B">
        <w:rPr>
          <w:rFonts w:asciiTheme="minorHAnsi" w:hAnsiTheme="minorHAnsi" w:cstheme="minorBidi"/>
        </w:rPr>
        <w:t>Oral PrEP and Other Drug Interactions</w:t>
      </w:r>
      <w:bookmarkEnd w:id="7"/>
    </w:p>
    <w:p w14:paraId="5CB9A232" w14:textId="41079DF0" w:rsidR="00AC70BA" w:rsidRDefault="0E0AB54E" w:rsidP="00DD508F">
      <w:pPr>
        <w:pBdr>
          <w:top w:val="nil"/>
          <w:left w:val="nil"/>
          <w:bottom w:val="nil"/>
          <w:right w:val="nil"/>
          <w:between w:val="nil"/>
        </w:pBdr>
        <w:spacing w:after="120" w:line="240" w:lineRule="auto"/>
        <w:rPr>
          <w:color w:val="000000" w:themeColor="text1"/>
        </w:rPr>
      </w:pPr>
      <w:r w:rsidRPr="1D9AD929">
        <w:rPr>
          <w:color w:val="000000" w:themeColor="text1"/>
        </w:rPr>
        <w:t>ARV drugs used for oral PrEP have n</w:t>
      </w:r>
      <w:r w:rsidR="006C4AC8">
        <w:rPr>
          <w:color w:val="000000" w:themeColor="text1"/>
        </w:rPr>
        <w:t>o</w:t>
      </w:r>
      <w:r w:rsidRPr="1D9AD929">
        <w:rPr>
          <w:color w:val="000000" w:themeColor="text1"/>
        </w:rPr>
        <w:t xml:space="preserve"> known interactions with contraceptive hormones</w:t>
      </w:r>
      <w:r w:rsidR="124C5EEE" w:rsidRPr="1D9AD929">
        <w:rPr>
          <w:color w:val="000000" w:themeColor="text1"/>
        </w:rPr>
        <w:t xml:space="preserve"> and do not </w:t>
      </w:r>
      <w:r w:rsidR="2310BC7C" w:rsidRPr="1D9AD929">
        <w:rPr>
          <w:color w:val="000000" w:themeColor="text1"/>
        </w:rPr>
        <w:t>affect</w:t>
      </w:r>
      <w:r w:rsidR="4ABF16F9" w:rsidRPr="1D9AD929">
        <w:rPr>
          <w:color w:val="000000" w:themeColor="text1"/>
        </w:rPr>
        <w:t xml:space="preserve"> </w:t>
      </w:r>
      <w:r w:rsidR="00017E6C">
        <w:rPr>
          <w:color w:val="000000" w:themeColor="text1"/>
        </w:rPr>
        <w:t xml:space="preserve">the </w:t>
      </w:r>
      <w:r w:rsidR="4ABF16F9" w:rsidRPr="1D9AD929">
        <w:rPr>
          <w:color w:val="000000" w:themeColor="text1"/>
        </w:rPr>
        <w:t>levels of</w:t>
      </w:r>
      <w:r w:rsidRPr="1D9AD929">
        <w:rPr>
          <w:color w:val="000000" w:themeColor="text1"/>
        </w:rPr>
        <w:t xml:space="preserve"> </w:t>
      </w:r>
      <w:r w:rsidR="00CF785C">
        <w:rPr>
          <w:color w:val="000000" w:themeColor="text1"/>
        </w:rPr>
        <w:t>exogenous estradiol-based hormones</w:t>
      </w:r>
      <w:r w:rsidRPr="1D9AD929">
        <w:rPr>
          <w:color w:val="000000" w:themeColor="text1"/>
        </w:rPr>
        <w:t xml:space="preserve"> used by transgender individuals. </w:t>
      </w:r>
      <w:r w:rsidR="6A2CCD04" w:rsidRPr="1D9AD929">
        <w:rPr>
          <w:color w:val="000000" w:themeColor="text1"/>
        </w:rPr>
        <w:t xml:space="preserve">There is some indication that the use </w:t>
      </w:r>
      <w:proofErr w:type="gramStart"/>
      <w:r w:rsidR="6A2CCD04" w:rsidRPr="1D9AD929">
        <w:rPr>
          <w:color w:val="000000" w:themeColor="text1"/>
        </w:rPr>
        <w:t xml:space="preserve">of </w:t>
      </w:r>
      <w:r w:rsidR="00366B0B" w:rsidRPr="00366B0B">
        <w:rPr>
          <w:rFonts w:cs="Calibri"/>
          <w:color w:val="000000" w:themeColor="text1"/>
        </w:rPr>
        <w:t xml:space="preserve"> </w:t>
      </w:r>
      <w:r w:rsidR="00366B0B">
        <w:rPr>
          <w:rFonts w:cs="Calibri"/>
          <w:color w:val="000000" w:themeColor="text1"/>
        </w:rPr>
        <w:t>gender</w:t>
      </w:r>
      <w:proofErr w:type="gramEnd"/>
      <w:r w:rsidR="00366B0B">
        <w:rPr>
          <w:rFonts w:cs="Calibri"/>
          <w:color w:val="000000" w:themeColor="text1"/>
        </w:rPr>
        <w:t>-affirming</w:t>
      </w:r>
      <w:r w:rsidR="6A2CCD04" w:rsidRPr="1D9AD929">
        <w:rPr>
          <w:color w:val="000000" w:themeColor="text1"/>
        </w:rPr>
        <w:t xml:space="preserve"> hormones</w:t>
      </w:r>
      <w:r w:rsidR="41AF0F56" w:rsidRPr="1D9AD929">
        <w:rPr>
          <w:color w:val="000000" w:themeColor="text1"/>
        </w:rPr>
        <w:t xml:space="preserve"> may </w:t>
      </w:r>
      <w:r w:rsidR="4ABF16F9" w:rsidRPr="1D9AD929">
        <w:rPr>
          <w:color w:val="000000" w:themeColor="text1"/>
        </w:rPr>
        <w:t xml:space="preserve">reduce oral PrEP drug levels </w:t>
      </w:r>
      <w:r w:rsidR="53C7A931" w:rsidRPr="1D9AD929">
        <w:rPr>
          <w:color w:val="000000" w:themeColor="text1"/>
        </w:rPr>
        <w:t xml:space="preserve">in people </w:t>
      </w:r>
      <w:r w:rsidR="1D72C98F" w:rsidRPr="1D9AD929">
        <w:rPr>
          <w:color w:val="000000" w:themeColor="text1"/>
        </w:rPr>
        <w:t xml:space="preserve">AMAB, </w:t>
      </w:r>
      <w:r w:rsidR="7938C0AD" w:rsidRPr="1D9AD929">
        <w:rPr>
          <w:color w:val="000000" w:themeColor="text1"/>
        </w:rPr>
        <w:t>which is</w:t>
      </w:r>
      <w:r w:rsidR="1D72C98F" w:rsidRPr="1D9AD929">
        <w:rPr>
          <w:color w:val="000000" w:themeColor="text1"/>
        </w:rPr>
        <w:t xml:space="preserve"> why</w:t>
      </w:r>
      <w:r w:rsidR="1B86B121" w:rsidRPr="1D9AD929">
        <w:rPr>
          <w:color w:val="000000" w:themeColor="text1"/>
        </w:rPr>
        <w:t xml:space="preserve"> daily oral PrEP is recommended for these individuals</w:t>
      </w:r>
      <w:r w:rsidR="000813EC">
        <w:rPr>
          <w:color w:val="000000" w:themeColor="text1"/>
        </w:rPr>
        <w:t xml:space="preserve">, </w:t>
      </w:r>
      <w:r w:rsidR="000813EC" w:rsidRPr="00976E46">
        <w:rPr>
          <w:color w:val="000000" w:themeColor="text1"/>
        </w:rPr>
        <w:t xml:space="preserve">including trans women using </w:t>
      </w:r>
      <w:r w:rsidR="00366B0B">
        <w:rPr>
          <w:rFonts w:cs="Calibri"/>
          <w:color w:val="000000" w:themeColor="text1"/>
        </w:rPr>
        <w:t xml:space="preserve">gender-affirming </w:t>
      </w:r>
      <w:r w:rsidR="00444128" w:rsidRPr="00976E46">
        <w:rPr>
          <w:color w:val="000000" w:themeColor="text1"/>
        </w:rPr>
        <w:t>hormones</w:t>
      </w:r>
      <w:r w:rsidR="00444128">
        <w:rPr>
          <w:color w:val="000000" w:themeColor="text1"/>
        </w:rPr>
        <w:t>,</w:t>
      </w:r>
      <w:r w:rsidR="008A033E">
        <w:rPr>
          <w:color w:val="000000" w:themeColor="text1"/>
        </w:rPr>
        <w:t xml:space="preserve"> </w:t>
      </w:r>
      <w:r w:rsidR="00E056B8">
        <w:rPr>
          <w:color w:val="000000" w:themeColor="text1"/>
        </w:rPr>
        <w:t xml:space="preserve">and </w:t>
      </w:r>
      <w:r w:rsidR="000E7D7C">
        <w:rPr>
          <w:color w:val="000000" w:themeColor="text1"/>
        </w:rPr>
        <w:t>single or infrequent event dosing is not</w:t>
      </w:r>
      <w:r w:rsidR="6C172FDA" w:rsidRPr="1D9AD929">
        <w:rPr>
          <w:color w:val="000000" w:themeColor="text1"/>
        </w:rPr>
        <w:t xml:space="preserve">. </w:t>
      </w:r>
      <w:r w:rsidR="00AC70BA" w:rsidRPr="62174829">
        <w:rPr>
          <w:color w:val="000000" w:themeColor="text1"/>
        </w:rPr>
        <w:t xml:space="preserve">There are no known interactions between oral PrEP medications and alcohol or recreational drugs. However, if </w:t>
      </w:r>
      <w:r w:rsidR="0031550A" w:rsidRPr="62174829">
        <w:rPr>
          <w:color w:val="000000" w:themeColor="text1"/>
        </w:rPr>
        <w:t>a client or potential client</w:t>
      </w:r>
      <w:r w:rsidR="00AC70BA" w:rsidRPr="62174829">
        <w:rPr>
          <w:color w:val="000000" w:themeColor="text1"/>
        </w:rPr>
        <w:t xml:space="preserve"> thinks that </w:t>
      </w:r>
      <w:r w:rsidR="00450764" w:rsidRPr="62174829">
        <w:rPr>
          <w:color w:val="000000" w:themeColor="text1"/>
        </w:rPr>
        <w:t>their</w:t>
      </w:r>
      <w:r w:rsidR="00AC70BA" w:rsidRPr="62174829">
        <w:rPr>
          <w:color w:val="000000" w:themeColor="text1"/>
        </w:rPr>
        <w:t xml:space="preserve"> use of alcohol or other substances is interfering </w:t>
      </w:r>
      <w:r w:rsidR="00324094" w:rsidRPr="62174829">
        <w:rPr>
          <w:color w:val="000000" w:themeColor="text1"/>
        </w:rPr>
        <w:t xml:space="preserve">or may interfere </w:t>
      </w:r>
      <w:r w:rsidR="00AC70BA" w:rsidRPr="62174829">
        <w:rPr>
          <w:color w:val="000000" w:themeColor="text1"/>
        </w:rPr>
        <w:t>with t</w:t>
      </w:r>
      <w:r w:rsidR="00180D92">
        <w:rPr>
          <w:color w:val="000000" w:themeColor="text1"/>
        </w:rPr>
        <w:t xml:space="preserve">hem </w:t>
      </w:r>
      <w:r w:rsidR="00FA2849">
        <w:rPr>
          <w:color w:val="000000" w:themeColor="text1"/>
        </w:rPr>
        <w:t>t</w:t>
      </w:r>
      <w:r w:rsidR="00AC70BA" w:rsidRPr="62174829">
        <w:rPr>
          <w:color w:val="000000" w:themeColor="text1"/>
        </w:rPr>
        <w:t xml:space="preserve">aking oral PrEP </w:t>
      </w:r>
      <w:r w:rsidR="000132D4" w:rsidRPr="62174829">
        <w:rPr>
          <w:color w:val="000000" w:themeColor="text1"/>
        </w:rPr>
        <w:t>as directed</w:t>
      </w:r>
      <w:r w:rsidR="00AC70BA" w:rsidRPr="62174829">
        <w:rPr>
          <w:color w:val="000000" w:themeColor="text1"/>
        </w:rPr>
        <w:t>, the</w:t>
      </w:r>
      <w:r w:rsidR="006967AC">
        <w:rPr>
          <w:color w:val="000000" w:themeColor="text1"/>
        </w:rPr>
        <w:t>ir</w:t>
      </w:r>
      <w:r w:rsidR="00AC70BA" w:rsidRPr="62174829">
        <w:rPr>
          <w:color w:val="000000" w:themeColor="text1"/>
        </w:rPr>
        <w:t xml:space="preserve"> </w:t>
      </w:r>
      <w:proofErr w:type="gramStart"/>
      <w:r w:rsidR="00AC70BA" w:rsidRPr="62174829">
        <w:rPr>
          <w:color w:val="000000" w:themeColor="text1"/>
        </w:rPr>
        <w:t>PrEP</w:t>
      </w:r>
      <w:proofErr w:type="gramEnd"/>
      <w:r w:rsidR="00AC70BA" w:rsidRPr="62174829">
        <w:rPr>
          <w:color w:val="000000" w:themeColor="text1"/>
        </w:rPr>
        <w:t xml:space="preserve"> provider should </w:t>
      </w:r>
      <w:r w:rsidR="00FD2E44">
        <w:rPr>
          <w:color w:val="000000" w:themeColor="text1"/>
        </w:rPr>
        <w:t>provide support and referrals and</w:t>
      </w:r>
      <w:r w:rsidR="00811E29">
        <w:rPr>
          <w:color w:val="000000" w:themeColor="text1"/>
        </w:rPr>
        <w:t>,</w:t>
      </w:r>
      <w:r w:rsidR="00FD2E44">
        <w:rPr>
          <w:color w:val="000000" w:themeColor="text1"/>
        </w:rPr>
        <w:t xml:space="preserve"> where needed</w:t>
      </w:r>
      <w:r w:rsidR="00811E29">
        <w:rPr>
          <w:color w:val="000000" w:themeColor="text1"/>
        </w:rPr>
        <w:t>,</w:t>
      </w:r>
      <w:r w:rsidR="00AC70BA" w:rsidRPr="62174829">
        <w:rPr>
          <w:color w:val="000000" w:themeColor="text1"/>
        </w:rPr>
        <w:t xml:space="preserve"> offer additional prevention options, including </w:t>
      </w:r>
      <w:r w:rsidR="00873C85" w:rsidRPr="62174829">
        <w:rPr>
          <w:color w:val="000000" w:themeColor="text1"/>
        </w:rPr>
        <w:t xml:space="preserve">the use of </w:t>
      </w:r>
      <w:r w:rsidR="00AC70BA" w:rsidRPr="62174829">
        <w:rPr>
          <w:color w:val="000000" w:themeColor="text1"/>
        </w:rPr>
        <w:t xml:space="preserve">condoms and </w:t>
      </w:r>
      <w:r w:rsidR="00F36E93" w:rsidRPr="62174829">
        <w:rPr>
          <w:color w:val="000000" w:themeColor="text1"/>
        </w:rPr>
        <w:t xml:space="preserve">condom-compatible </w:t>
      </w:r>
      <w:r w:rsidR="001655F2" w:rsidRPr="62174829">
        <w:rPr>
          <w:color w:val="000000" w:themeColor="text1"/>
        </w:rPr>
        <w:t>lubricant</w:t>
      </w:r>
      <w:r w:rsidR="002112EC" w:rsidRPr="62174829">
        <w:rPr>
          <w:color w:val="000000" w:themeColor="text1"/>
        </w:rPr>
        <w:t xml:space="preserve"> and linkage to harm reduction services</w:t>
      </w:r>
      <w:r w:rsidR="00811E29">
        <w:rPr>
          <w:color w:val="000000" w:themeColor="text1"/>
        </w:rPr>
        <w:t xml:space="preserve"> </w:t>
      </w:r>
      <w:r w:rsidR="00811E29" w:rsidRPr="62174829">
        <w:rPr>
          <w:color w:val="000000" w:themeColor="text1"/>
        </w:rPr>
        <w:t xml:space="preserve">when </w:t>
      </w:r>
      <w:r w:rsidR="00811E29">
        <w:rPr>
          <w:color w:val="000000" w:themeColor="text1"/>
        </w:rPr>
        <w:t xml:space="preserve">they are </w:t>
      </w:r>
      <w:r w:rsidR="00811E29" w:rsidRPr="62174829">
        <w:rPr>
          <w:color w:val="000000" w:themeColor="text1"/>
        </w:rPr>
        <w:t>available</w:t>
      </w:r>
      <w:r w:rsidR="00AC70BA" w:rsidRPr="62174829">
        <w:rPr>
          <w:color w:val="000000" w:themeColor="text1"/>
        </w:rPr>
        <w:t xml:space="preserve">. </w:t>
      </w:r>
    </w:p>
    <w:p w14:paraId="703E1972" w14:textId="46421F03" w:rsidR="00B03AD4" w:rsidRDefault="00B03AD4" w:rsidP="00B03AD4">
      <w:pPr>
        <w:spacing w:after="120" w:line="240" w:lineRule="auto"/>
        <w:rPr>
          <w:color w:val="000000" w:themeColor="text1"/>
        </w:rPr>
      </w:pPr>
      <w:r w:rsidRPr="13A774D0">
        <w:rPr>
          <w:color w:val="000000" w:themeColor="text1"/>
        </w:rPr>
        <w:t xml:space="preserve">For information on concurrent use of </w:t>
      </w:r>
      <w:r>
        <w:rPr>
          <w:color w:val="000000" w:themeColor="text1"/>
        </w:rPr>
        <w:t xml:space="preserve">oral PrEP </w:t>
      </w:r>
      <w:r w:rsidRPr="0EE50CAE">
        <w:rPr>
          <w:color w:val="000000" w:themeColor="text1"/>
        </w:rPr>
        <w:t>with other PrEP products, see</w:t>
      </w:r>
      <w:r>
        <w:rPr>
          <w:color w:val="000000" w:themeColor="text1"/>
        </w:rPr>
        <w:t xml:space="preserve"> </w:t>
      </w:r>
      <w:r w:rsidR="000340F2">
        <w:rPr>
          <w:color w:val="000000" w:themeColor="text1"/>
        </w:rPr>
        <w:t>the</w:t>
      </w:r>
      <w:r>
        <w:rPr>
          <w:color w:val="000000" w:themeColor="text1"/>
        </w:rPr>
        <w:t xml:space="preserve"> </w:t>
      </w:r>
      <w:r>
        <w:rPr>
          <w:i/>
          <w:iCs/>
          <w:color w:val="000000" w:themeColor="text1"/>
        </w:rPr>
        <w:t xml:space="preserve">Switching Between PrEP Methods and Simultaneous Use </w:t>
      </w:r>
      <w:r>
        <w:rPr>
          <w:color w:val="000000" w:themeColor="text1"/>
        </w:rPr>
        <w:t>section below.</w:t>
      </w:r>
    </w:p>
    <w:tbl>
      <w:tblPr>
        <w:tblW w:w="0" w:type="auto"/>
        <w:tblLook w:val="04A0" w:firstRow="1" w:lastRow="0" w:firstColumn="1" w:lastColumn="0" w:noHBand="0" w:noVBand="1"/>
      </w:tblPr>
      <w:tblGrid>
        <w:gridCol w:w="10456"/>
      </w:tblGrid>
      <w:tr w:rsidR="00FD4AE1" w:rsidRPr="007F47FD" w14:paraId="6F919757" w14:textId="77777777">
        <w:tc>
          <w:tcPr>
            <w:tcW w:w="10456" w:type="dxa"/>
            <w:shd w:val="clear" w:color="auto" w:fill="C5E0B3" w:themeFill="accent6" w:themeFillTint="66"/>
          </w:tcPr>
          <w:p w14:paraId="3BEC33F2" w14:textId="56B60F06" w:rsidR="00FD4AE1" w:rsidRPr="001C2FD6" w:rsidRDefault="00FD4AE1" w:rsidP="00FD4AE1">
            <w:pPr>
              <w:spacing w:after="120"/>
            </w:pPr>
            <w:r w:rsidRPr="0294A27B">
              <w:rPr>
                <w:b/>
              </w:rPr>
              <w:t xml:space="preserve">For </w:t>
            </w:r>
            <w:r w:rsidR="00375A80">
              <w:rPr>
                <w:b/>
              </w:rPr>
              <w:t>c</w:t>
            </w:r>
            <w:r w:rsidRPr="0294A27B">
              <w:rPr>
                <w:b/>
              </w:rPr>
              <w:t xml:space="preserve">onsideration: </w:t>
            </w:r>
            <w:r>
              <w:rPr>
                <w:color w:val="000000" w:themeColor="text1"/>
              </w:rPr>
              <w:t>Taking multiple nephrotoxic agents (such as nonsteroidal anti-inflammatory drugs) with TDF has been shown to lead to nephrotoxicity and should be avoided when possible.</w:t>
            </w:r>
          </w:p>
        </w:tc>
      </w:tr>
    </w:tbl>
    <w:p w14:paraId="729ACF3C" w14:textId="77777777" w:rsidR="00FD4AE1" w:rsidRDefault="00FD4AE1" w:rsidP="00B03AD4">
      <w:pPr>
        <w:spacing w:after="120" w:line="240" w:lineRule="auto"/>
        <w:rPr>
          <w:color w:val="000000" w:themeColor="text1"/>
        </w:rPr>
      </w:pPr>
    </w:p>
    <w:p w14:paraId="7F664241" w14:textId="6E86AB93" w:rsidR="00560EAE" w:rsidRPr="007F47FD" w:rsidRDefault="00CE667C" w:rsidP="00DD508F">
      <w:pPr>
        <w:pStyle w:val="Heading3"/>
        <w:spacing w:before="0" w:after="120" w:line="240" w:lineRule="auto"/>
        <w:rPr>
          <w:rFonts w:asciiTheme="minorHAnsi" w:hAnsiTheme="minorHAnsi" w:cstheme="minorBidi"/>
          <w:color w:val="000000"/>
        </w:rPr>
      </w:pPr>
      <w:bookmarkStart w:id="8" w:name="_Toc182989097"/>
      <w:r w:rsidRPr="007F47FD">
        <w:rPr>
          <w:rFonts w:cstheme="minorHAnsi"/>
          <w:noProof/>
        </w:rPr>
        <mc:AlternateContent>
          <mc:Choice Requires="wps">
            <w:drawing>
              <wp:anchor distT="0" distB="0" distL="114300" distR="114300" simplePos="0" relativeHeight="251651584" behindDoc="0" locked="0" layoutInCell="1" hidden="0" allowOverlap="1" wp14:anchorId="406D02CA" wp14:editId="710B6F43">
                <wp:simplePos x="0" y="0"/>
                <wp:positionH relativeFrom="margin">
                  <wp:posOffset>4351655</wp:posOffset>
                </wp:positionH>
                <wp:positionV relativeFrom="paragraph">
                  <wp:posOffset>24130</wp:posOffset>
                </wp:positionV>
                <wp:extent cx="2165985" cy="1645920"/>
                <wp:effectExtent l="0" t="0" r="24765" b="11430"/>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0" y="0"/>
                          <a:ext cx="2165985" cy="164592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4BB9105" w14:textId="0E022BAF" w:rsidR="00617AF0" w:rsidRDefault="00617AF0" w:rsidP="00324094">
                            <w:pPr>
                              <w:spacing w:after="120" w:line="240" w:lineRule="auto"/>
                              <w:contextualSpacing/>
                              <w:textDirection w:val="btLr"/>
                            </w:pPr>
                            <w:r>
                              <w:rPr>
                                <w:b/>
                                <w:color w:val="000000"/>
                              </w:rPr>
                              <w:t>Box 1. Signs of AHI</w:t>
                            </w:r>
                          </w:p>
                          <w:p w14:paraId="1AB72B9C" w14:textId="77777777" w:rsidR="00617AF0" w:rsidRDefault="00617AF0" w:rsidP="00391C93">
                            <w:pPr>
                              <w:pStyle w:val="ListParagraph"/>
                              <w:numPr>
                                <w:ilvl w:val="0"/>
                                <w:numId w:val="14"/>
                              </w:numPr>
                              <w:spacing w:after="120" w:line="240" w:lineRule="auto"/>
                              <w:textDirection w:val="btLr"/>
                            </w:pPr>
                            <w:r w:rsidRPr="00324094">
                              <w:rPr>
                                <w:color w:val="000000"/>
                              </w:rPr>
                              <w:t xml:space="preserve">Fever </w:t>
                            </w:r>
                          </w:p>
                          <w:p w14:paraId="0010BB65" w14:textId="77777777" w:rsidR="00617AF0" w:rsidRDefault="00617AF0" w:rsidP="00391C93">
                            <w:pPr>
                              <w:pStyle w:val="ListParagraph"/>
                              <w:numPr>
                                <w:ilvl w:val="0"/>
                                <w:numId w:val="14"/>
                              </w:numPr>
                              <w:spacing w:after="120" w:line="240" w:lineRule="auto"/>
                              <w:textDirection w:val="btLr"/>
                            </w:pPr>
                            <w:r w:rsidRPr="00324094">
                              <w:rPr>
                                <w:color w:val="000000"/>
                              </w:rPr>
                              <w:t>Swollen lymph glands</w:t>
                            </w:r>
                          </w:p>
                          <w:p w14:paraId="1CF1BC41" w14:textId="77777777" w:rsidR="00617AF0" w:rsidRDefault="00617AF0" w:rsidP="00391C93">
                            <w:pPr>
                              <w:pStyle w:val="ListParagraph"/>
                              <w:numPr>
                                <w:ilvl w:val="0"/>
                                <w:numId w:val="14"/>
                              </w:numPr>
                              <w:spacing w:after="120" w:line="240" w:lineRule="auto"/>
                              <w:textDirection w:val="btLr"/>
                            </w:pPr>
                            <w:r w:rsidRPr="00324094">
                              <w:rPr>
                                <w:color w:val="000000"/>
                              </w:rPr>
                              <w:t>Skin rash</w:t>
                            </w:r>
                          </w:p>
                          <w:p w14:paraId="00CFC3B0" w14:textId="77777777" w:rsidR="00617AF0" w:rsidRDefault="00617AF0" w:rsidP="00391C93">
                            <w:pPr>
                              <w:pStyle w:val="ListParagraph"/>
                              <w:numPr>
                                <w:ilvl w:val="0"/>
                                <w:numId w:val="14"/>
                              </w:numPr>
                              <w:spacing w:after="120" w:line="240" w:lineRule="auto"/>
                              <w:textDirection w:val="btLr"/>
                            </w:pPr>
                            <w:r w:rsidRPr="00324094">
                              <w:rPr>
                                <w:color w:val="000000"/>
                              </w:rPr>
                              <w:t>Headache</w:t>
                            </w:r>
                          </w:p>
                          <w:p w14:paraId="3D92EF49" w14:textId="77777777" w:rsidR="00617AF0" w:rsidRDefault="00617AF0" w:rsidP="00391C93">
                            <w:pPr>
                              <w:pStyle w:val="ListParagraph"/>
                              <w:numPr>
                                <w:ilvl w:val="0"/>
                                <w:numId w:val="14"/>
                              </w:numPr>
                              <w:spacing w:after="120" w:line="240" w:lineRule="auto"/>
                              <w:textDirection w:val="btLr"/>
                            </w:pPr>
                            <w:r w:rsidRPr="00324094">
                              <w:rPr>
                                <w:color w:val="000000"/>
                              </w:rPr>
                              <w:t>Sore throat</w:t>
                            </w:r>
                          </w:p>
                          <w:p w14:paraId="48F28DC6" w14:textId="77777777" w:rsidR="00617AF0" w:rsidRDefault="00617AF0" w:rsidP="00391C93">
                            <w:pPr>
                              <w:pStyle w:val="ListParagraph"/>
                              <w:numPr>
                                <w:ilvl w:val="0"/>
                                <w:numId w:val="14"/>
                              </w:numPr>
                              <w:spacing w:after="120" w:line="240" w:lineRule="auto"/>
                              <w:textDirection w:val="btLr"/>
                            </w:pPr>
                            <w:r w:rsidRPr="00324094">
                              <w:rPr>
                                <w:color w:val="000000"/>
                              </w:rPr>
                              <w:t>Aches and pains</w:t>
                            </w:r>
                          </w:p>
                          <w:p w14:paraId="1C35CA76" w14:textId="77777777" w:rsidR="00617AF0" w:rsidRDefault="00617AF0" w:rsidP="00391C93">
                            <w:pPr>
                              <w:pStyle w:val="ListParagraph"/>
                              <w:numPr>
                                <w:ilvl w:val="0"/>
                                <w:numId w:val="14"/>
                              </w:numPr>
                              <w:spacing w:after="120" w:line="240" w:lineRule="auto"/>
                              <w:textDirection w:val="btLr"/>
                            </w:pPr>
                            <w:r w:rsidRPr="00324094">
                              <w:rPr>
                                <w:color w:val="000000"/>
                              </w:rPr>
                              <w:t>Mouth sores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6D02CA" id="Rectangle 249" o:spid="_x0000_s1026" style="position:absolute;margin-left:342.65pt;margin-top:1.9pt;width:170.55pt;height:12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" fillcolor="#d5dbe5">
                <v:stroke startarrowwidth="narrow" startarrowlength="short" endarrowwidth="narrow" endarrowlength="short"/>
                <v:textbox inset="2.53958mm,1.2694mm,2.53958mm,1.2694mm">
                  <w:txbxContent>
                    <w:p w14:paraId="34BB9105" w14:textId="0E022BAF" w:rsidR="00617AF0" w:rsidRDefault="00617AF0" w:rsidP="00324094">
                      <w:pPr>
                        <w:spacing w:after="120" w:line="240" w:lineRule="auto"/>
                        <w:contextualSpacing/>
                        <w:textDirection w:val="btLr"/>
                      </w:pPr>
                      <w:r>
                        <w:rPr>
                          <w:b/>
                          <w:color w:val="000000"/>
                        </w:rPr>
                        <w:t>Box 1. Signs of AHI</w:t>
                      </w:r>
                    </w:p>
                    <w:p w14:paraId="1AB72B9C" w14:textId="77777777" w:rsidR="00617AF0" w:rsidRDefault="00617AF0" w:rsidP="00391C93">
                      <w:pPr>
                        <w:pStyle w:val="ListParagraph"/>
                        <w:numPr>
                          <w:ilvl w:val="0"/>
                          <w:numId w:val="14"/>
                        </w:numPr>
                        <w:spacing w:after="120" w:line="240" w:lineRule="auto"/>
                        <w:textDirection w:val="btLr"/>
                      </w:pPr>
                      <w:r w:rsidRPr="00324094">
                        <w:rPr>
                          <w:color w:val="000000"/>
                        </w:rPr>
                        <w:t xml:space="preserve">Fever </w:t>
                      </w:r>
                    </w:p>
                    <w:p w14:paraId="0010BB65" w14:textId="77777777" w:rsidR="00617AF0" w:rsidRDefault="00617AF0" w:rsidP="00391C93">
                      <w:pPr>
                        <w:pStyle w:val="ListParagraph"/>
                        <w:numPr>
                          <w:ilvl w:val="0"/>
                          <w:numId w:val="14"/>
                        </w:numPr>
                        <w:spacing w:after="120" w:line="240" w:lineRule="auto"/>
                        <w:textDirection w:val="btLr"/>
                      </w:pPr>
                      <w:r w:rsidRPr="00324094">
                        <w:rPr>
                          <w:color w:val="000000"/>
                        </w:rPr>
                        <w:t>Swollen lymph glands</w:t>
                      </w:r>
                    </w:p>
                    <w:p w14:paraId="1CF1BC41" w14:textId="77777777" w:rsidR="00617AF0" w:rsidRDefault="00617AF0" w:rsidP="00391C93">
                      <w:pPr>
                        <w:pStyle w:val="ListParagraph"/>
                        <w:numPr>
                          <w:ilvl w:val="0"/>
                          <w:numId w:val="14"/>
                        </w:numPr>
                        <w:spacing w:after="120" w:line="240" w:lineRule="auto"/>
                        <w:textDirection w:val="btLr"/>
                      </w:pPr>
                      <w:r w:rsidRPr="00324094">
                        <w:rPr>
                          <w:color w:val="000000"/>
                        </w:rPr>
                        <w:t>Skin rash</w:t>
                      </w:r>
                    </w:p>
                    <w:p w14:paraId="00CFC3B0" w14:textId="77777777" w:rsidR="00617AF0" w:rsidRDefault="00617AF0" w:rsidP="00391C93">
                      <w:pPr>
                        <w:pStyle w:val="ListParagraph"/>
                        <w:numPr>
                          <w:ilvl w:val="0"/>
                          <w:numId w:val="14"/>
                        </w:numPr>
                        <w:spacing w:after="120" w:line="240" w:lineRule="auto"/>
                        <w:textDirection w:val="btLr"/>
                      </w:pPr>
                      <w:r w:rsidRPr="00324094">
                        <w:rPr>
                          <w:color w:val="000000"/>
                        </w:rPr>
                        <w:t>Headache</w:t>
                      </w:r>
                    </w:p>
                    <w:p w14:paraId="3D92EF49" w14:textId="77777777" w:rsidR="00617AF0" w:rsidRDefault="00617AF0" w:rsidP="00391C93">
                      <w:pPr>
                        <w:pStyle w:val="ListParagraph"/>
                        <w:numPr>
                          <w:ilvl w:val="0"/>
                          <w:numId w:val="14"/>
                        </w:numPr>
                        <w:spacing w:after="120" w:line="240" w:lineRule="auto"/>
                        <w:textDirection w:val="btLr"/>
                      </w:pPr>
                      <w:r w:rsidRPr="00324094">
                        <w:rPr>
                          <w:color w:val="000000"/>
                        </w:rPr>
                        <w:t>Sore throat</w:t>
                      </w:r>
                    </w:p>
                    <w:p w14:paraId="48F28DC6" w14:textId="77777777" w:rsidR="00617AF0" w:rsidRDefault="00617AF0" w:rsidP="00391C93">
                      <w:pPr>
                        <w:pStyle w:val="ListParagraph"/>
                        <w:numPr>
                          <w:ilvl w:val="0"/>
                          <w:numId w:val="14"/>
                        </w:numPr>
                        <w:spacing w:after="120" w:line="240" w:lineRule="auto"/>
                        <w:textDirection w:val="btLr"/>
                      </w:pPr>
                      <w:r w:rsidRPr="00324094">
                        <w:rPr>
                          <w:color w:val="000000"/>
                        </w:rPr>
                        <w:t>Aches and pains</w:t>
                      </w:r>
                    </w:p>
                    <w:p w14:paraId="1C35CA76" w14:textId="77777777" w:rsidR="00617AF0" w:rsidRDefault="00617AF0" w:rsidP="00391C93">
                      <w:pPr>
                        <w:pStyle w:val="ListParagraph"/>
                        <w:numPr>
                          <w:ilvl w:val="0"/>
                          <w:numId w:val="14"/>
                        </w:numPr>
                        <w:spacing w:after="120" w:line="240" w:lineRule="auto"/>
                        <w:textDirection w:val="btLr"/>
                      </w:pPr>
                      <w:r w:rsidRPr="00324094">
                        <w:rPr>
                          <w:color w:val="000000"/>
                        </w:rPr>
                        <w:t>Mouth sores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v:textbox>
                <w10:wrap type="square" anchorx="margin"/>
              </v:rect>
            </w:pict>
          </mc:Fallback>
        </mc:AlternateContent>
      </w:r>
      <w:r w:rsidR="00560EAE" w:rsidRPr="0294A27B">
        <w:rPr>
          <w:rFonts w:asciiTheme="minorHAnsi" w:hAnsiTheme="minorHAnsi" w:cstheme="minorBidi"/>
        </w:rPr>
        <w:t>Contraindications for Oral PrEP</w:t>
      </w:r>
      <w:r w:rsidR="00A95172" w:rsidRPr="0294A27B">
        <w:rPr>
          <w:rFonts w:asciiTheme="minorHAnsi" w:hAnsiTheme="minorHAnsi" w:cstheme="minorBidi"/>
        </w:rPr>
        <w:t xml:space="preserve"> Use</w:t>
      </w:r>
      <w:bookmarkEnd w:id="8"/>
    </w:p>
    <w:p w14:paraId="1108C6F4" w14:textId="2AC89789" w:rsidR="00560EAE" w:rsidRPr="007F47FD" w:rsidRDefault="00560EAE" w:rsidP="00DD508F">
      <w:pPr>
        <w:spacing w:after="120" w:line="240" w:lineRule="auto"/>
        <w:rPr>
          <w:color w:val="000000"/>
        </w:rPr>
      </w:pPr>
      <w:r w:rsidRPr="007F47FD">
        <w:t xml:space="preserve">Oral </w:t>
      </w:r>
      <w:r w:rsidRPr="007F47FD">
        <w:rPr>
          <w:color w:val="000000" w:themeColor="text1"/>
        </w:rPr>
        <w:t xml:space="preserve">PrEP should </w:t>
      </w:r>
      <w:r w:rsidRPr="007F47FD">
        <w:rPr>
          <w:b/>
          <w:color w:val="000000" w:themeColor="text1"/>
        </w:rPr>
        <w:t>NOT</w:t>
      </w:r>
      <w:r w:rsidRPr="007F47FD">
        <w:rPr>
          <w:color w:val="000000" w:themeColor="text1"/>
        </w:rPr>
        <w:t xml:space="preserve"> be provided to people with:</w:t>
      </w:r>
    </w:p>
    <w:p w14:paraId="18C5448D" w14:textId="1DC01F8A" w:rsidR="00560EAE" w:rsidRPr="007F47FD" w:rsidRDefault="0057244D" w:rsidP="00391C93">
      <w:pPr>
        <w:numPr>
          <w:ilvl w:val="0"/>
          <w:numId w:val="1"/>
        </w:numPr>
        <w:pBdr>
          <w:top w:val="nil"/>
          <w:left w:val="nil"/>
          <w:bottom w:val="nil"/>
          <w:right w:val="nil"/>
          <w:between w:val="nil"/>
        </w:pBdr>
        <w:spacing w:after="120" w:line="240" w:lineRule="auto"/>
        <w:rPr>
          <w:rFonts w:cstheme="minorHAnsi"/>
          <w:color w:val="000000"/>
        </w:rPr>
      </w:pPr>
      <w:r w:rsidRPr="007F47FD">
        <w:rPr>
          <w:color w:val="000000" w:themeColor="text1"/>
        </w:rPr>
        <w:t xml:space="preserve">An </w:t>
      </w:r>
      <w:r w:rsidR="00560EAE" w:rsidRPr="007F47FD">
        <w:rPr>
          <w:rFonts w:cstheme="minorHAnsi"/>
          <w:color w:val="000000"/>
        </w:rPr>
        <w:t>HIV-positive test result using the national HIV testing algorithm</w:t>
      </w:r>
    </w:p>
    <w:p w14:paraId="62E39AC1" w14:textId="7CD1CDB9" w:rsidR="00560EAE" w:rsidRPr="007F47FD" w:rsidRDefault="001836B4" w:rsidP="00391C93">
      <w:pPr>
        <w:numPr>
          <w:ilvl w:val="0"/>
          <w:numId w:val="1"/>
        </w:numPr>
        <w:pBdr>
          <w:top w:val="nil"/>
          <w:left w:val="nil"/>
          <w:bottom w:val="nil"/>
          <w:right w:val="nil"/>
          <w:between w:val="nil"/>
        </w:pBdr>
        <w:spacing w:after="120" w:line="240" w:lineRule="auto"/>
        <w:rPr>
          <w:color w:val="000000"/>
        </w:rPr>
      </w:pPr>
      <w:r w:rsidRPr="74385935">
        <w:rPr>
          <w:color w:val="000000" w:themeColor="text1"/>
        </w:rPr>
        <w:t>Potential</w:t>
      </w:r>
      <w:r w:rsidR="00560EAE" w:rsidRPr="74385935">
        <w:rPr>
          <w:color w:val="000000" w:themeColor="text1"/>
        </w:rPr>
        <w:t xml:space="preserve"> exposure to HIV in the past 72 hours</w:t>
      </w:r>
      <w:r w:rsidR="00600BD9" w:rsidRPr="74385935">
        <w:rPr>
          <w:color w:val="000000" w:themeColor="text1"/>
        </w:rPr>
        <w:t xml:space="preserve"> (</w:t>
      </w:r>
      <w:r w:rsidR="28E529FE" w:rsidRPr="62174829">
        <w:rPr>
          <w:color w:val="000000" w:themeColor="text1"/>
        </w:rPr>
        <w:t xml:space="preserve">these clients should be offered </w:t>
      </w:r>
      <w:r w:rsidR="00866207" w:rsidRPr="74385935">
        <w:rPr>
          <w:color w:val="000000" w:themeColor="text1"/>
        </w:rPr>
        <w:t xml:space="preserve">post-exposure prophylaxis </w:t>
      </w:r>
      <w:r w:rsidR="00A53953">
        <w:rPr>
          <w:color w:val="000000" w:themeColor="text1"/>
        </w:rPr>
        <w:t>[</w:t>
      </w:r>
      <w:r w:rsidR="00866207" w:rsidRPr="74385935">
        <w:rPr>
          <w:color w:val="000000" w:themeColor="text1"/>
        </w:rPr>
        <w:t>PEP</w:t>
      </w:r>
      <w:r w:rsidR="00A53953">
        <w:rPr>
          <w:color w:val="000000" w:themeColor="text1"/>
        </w:rPr>
        <w:t>]</w:t>
      </w:r>
      <w:r w:rsidR="4D73DF2A" w:rsidRPr="74385935">
        <w:rPr>
          <w:color w:val="000000" w:themeColor="text1"/>
        </w:rPr>
        <w:t>)</w:t>
      </w:r>
      <w:r w:rsidR="00866207" w:rsidRPr="74385935">
        <w:rPr>
          <w:color w:val="000000" w:themeColor="text1"/>
        </w:rPr>
        <w:t xml:space="preserve"> </w:t>
      </w:r>
    </w:p>
    <w:p w14:paraId="21698602" w14:textId="1C566377" w:rsidR="00112E5F" w:rsidRPr="007F47FD" w:rsidRDefault="00112E5F" w:rsidP="461B9A95">
      <w:pPr>
        <w:numPr>
          <w:ilvl w:val="0"/>
          <w:numId w:val="1"/>
        </w:numPr>
        <w:pBdr>
          <w:top w:val="nil"/>
          <w:left w:val="nil"/>
          <w:bottom w:val="nil"/>
          <w:right w:val="nil"/>
          <w:between w:val="nil"/>
        </w:pBdr>
        <w:spacing w:after="120" w:line="240" w:lineRule="auto"/>
        <w:rPr>
          <w:color w:val="000000"/>
        </w:rPr>
      </w:pPr>
      <w:r w:rsidRPr="461B9A95">
        <w:rPr>
          <w:color w:val="000000" w:themeColor="text1"/>
        </w:rPr>
        <w:t xml:space="preserve">Signs </w:t>
      </w:r>
      <w:r w:rsidR="379E8297" w:rsidRPr="461B9A95">
        <w:rPr>
          <w:color w:val="000000" w:themeColor="text1"/>
        </w:rPr>
        <w:t>o</w:t>
      </w:r>
      <w:r w:rsidR="00902373" w:rsidRPr="461B9A95">
        <w:rPr>
          <w:color w:val="000000" w:themeColor="text1"/>
        </w:rPr>
        <w:t>f</w:t>
      </w:r>
      <w:r w:rsidRPr="461B9A95">
        <w:rPr>
          <w:color w:val="000000" w:themeColor="text1"/>
        </w:rPr>
        <w:t xml:space="preserve"> </w:t>
      </w:r>
      <w:r w:rsidR="00B02C5C" w:rsidRPr="461B9A95">
        <w:rPr>
          <w:color w:val="000000" w:themeColor="text1"/>
        </w:rPr>
        <w:t>acute HIV infection (</w:t>
      </w:r>
      <w:r w:rsidRPr="461B9A95">
        <w:rPr>
          <w:color w:val="000000" w:themeColor="text1"/>
        </w:rPr>
        <w:t>AHI</w:t>
      </w:r>
      <w:r w:rsidR="00744E5E" w:rsidRPr="461B9A95">
        <w:rPr>
          <w:color w:val="000000" w:themeColor="text1"/>
        </w:rPr>
        <w:t>)</w:t>
      </w:r>
      <w:r w:rsidRPr="461B9A95">
        <w:rPr>
          <w:color w:val="000000" w:themeColor="text1"/>
        </w:rPr>
        <w:t xml:space="preserve"> (Box 1) </w:t>
      </w:r>
      <w:r w:rsidRPr="461B9A95">
        <w:rPr>
          <w:i/>
          <w:iCs/>
          <w:color w:val="000000" w:themeColor="text1"/>
        </w:rPr>
        <w:t xml:space="preserve">AND potential exposure </w:t>
      </w:r>
      <w:r w:rsidR="7F564C4F" w:rsidRPr="461B9A95">
        <w:rPr>
          <w:i/>
          <w:iCs/>
          <w:color w:val="000000" w:themeColor="text1"/>
        </w:rPr>
        <w:t xml:space="preserve">to HIV </w:t>
      </w:r>
      <w:r w:rsidRPr="461B9A95">
        <w:rPr>
          <w:i/>
          <w:iCs/>
          <w:color w:val="000000" w:themeColor="text1"/>
        </w:rPr>
        <w:t>within the past 14 days</w:t>
      </w:r>
    </w:p>
    <w:p w14:paraId="433DB811" w14:textId="2EC108CD" w:rsidR="00560EAE" w:rsidRPr="007F47FD" w:rsidRDefault="00064ACB" w:rsidP="00391C93">
      <w:pPr>
        <w:numPr>
          <w:ilvl w:val="0"/>
          <w:numId w:val="1"/>
        </w:numPr>
        <w:pBdr>
          <w:top w:val="nil"/>
          <w:left w:val="nil"/>
          <w:bottom w:val="nil"/>
          <w:right w:val="nil"/>
          <w:between w:val="nil"/>
        </w:pBdr>
        <w:spacing w:after="120" w:line="240" w:lineRule="auto"/>
        <w:rPr>
          <w:color w:val="000000"/>
        </w:rPr>
      </w:pPr>
      <w:r>
        <w:rPr>
          <w:rFonts w:cstheme="minorHAnsi"/>
          <w:color w:val="000000"/>
        </w:rPr>
        <w:t>Unwillingness or inability</w:t>
      </w:r>
      <w:r w:rsidRPr="00606B35">
        <w:rPr>
          <w:rFonts w:cstheme="minorHAnsi"/>
          <w:color w:val="000000"/>
        </w:rPr>
        <w:t xml:space="preserve"> to commit to effectively using </w:t>
      </w:r>
      <w:r w:rsidR="00560EAE" w:rsidRPr="62174829">
        <w:rPr>
          <w:color w:val="000000" w:themeColor="text1"/>
        </w:rPr>
        <w:t xml:space="preserve">oral PrEP </w:t>
      </w:r>
    </w:p>
    <w:p w14:paraId="43B47FD6" w14:textId="100E3E82" w:rsidR="000B6A5E" w:rsidRPr="007F47FD" w:rsidRDefault="000B6A5E" w:rsidP="00391C93">
      <w:pPr>
        <w:numPr>
          <w:ilvl w:val="0"/>
          <w:numId w:val="1"/>
        </w:numPr>
        <w:pBdr>
          <w:top w:val="nil"/>
          <w:left w:val="nil"/>
          <w:bottom w:val="nil"/>
          <w:right w:val="nil"/>
          <w:between w:val="nil"/>
        </w:pBdr>
        <w:spacing w:after="120" w:line="240" w:lineRule="auto"/>
        <w:rPr>
          <w:rFonts w:cstheme="minorHAnsi"/>
          <w:color w:val="000000"/>
        </w:rPr>
      </w:pPr>
      <w:r w:rsidRPr="007F47FD">
        <w:rPr>
          <w:rFonts w:cstheme="minorHAnsi"/>
          <w:color w:val="000000"/>
        </w:rPr>
        <w:t xml:space="preserve">Allergy or hypersensitivity to </w:t>
      </w:r>
      <w:r w:rsidR="00987418" w:rsidRPr="007F47FD">
        <w:rPr>
          <w:rFonts w:cstheme="minorHAnsi"/>
          <w:color w:val="000000"/>
        </w:rPr>
        <w:t xml:space="preserve">an </w:t>
      </w:r>
      <w:r w:rsidRPr="007F47FD">
        <w:rPr>
          <w:rFonts w:cstheme="minorHAnsi"/>
          <w:bCs/>
          <w:iCs/>
        </w:rPr>
        <w:t>active substance or other substances listed in the product information sheet</w:t>
      </w:r>
    </w:p>
    <w:p w14:paraId="2772063C" w14:textId="5EC1931E" w:rsidR="00793FDD" w:rsidRDefault="47928A55" w:rsidP="74385935">
      <w:pPr>
        <w:numPr>
          <w:ilvl w:val="0"/>
          <w:numId w:val="1"/>
        </w:numPr>
        <w:pBdr>
          <w:top w:val="nil"/>
          <w:left w:val="nil"/>
          <w:bottom w:val="nil"/>
          <w:right w:val="nil"/>
          <w:between w:val="nil"/>
        </w:pBdr>
        <w:spacing w:after="120" w:line="240" w:lineRule="auto"/>
        <w:rPr>
          <w:color w:val="000000"/>
        </w:rPr>
      </w:pPr>
      <w:r w:rsidRPr="74385935">
        <w:rPr>
          <w:color w:val="000000" w:themeColor="text1"/>
        </w:rPr>
        <w:t xml:space="preserve">Known </w:t>
      </w:r>
      <w:r w:rsidR="1BAA243E" w:rsidRPr="74385935">
        <w:rPr>
          <w:color w:val="000000" w:themeColor="text1"/>
        </w:rPr>
        <w:t>k</w:t>
      </w:r>
      <w:r w:rsidR="00A965DC" w:rsidRPr="74385935">
        <w:rPr>
          <w:color w:val="000000" w:themeColor="text1"/>
        </w:rPr>
        <w:t>idney function impairment, indicated by an estimated glomerular filtration rate</w:t>
      </w:r>
      <w:r w:rsidR="008A450C" w:rsidRPr="74385935">
        <w:rPr>
          <w:color w:val="000000" w:themeColor="text1"/>
        </w:rPr>
        <w:t xml:space="preserve"> (eGFR)</w:t>
      </w:r>
      <w:r w:rsidR="00A965DC" w:rsidRPr="74385935">
        <w:rPr>
          <w:color w:val="000000" w:themeColor="text1"/>
        </w:rPr>
        <w:t xml:space="preserve"> of under 60 mL</w:t>
      </w:r>
      <w:r w:rsidR="00F1142A" w:rsidRPr="74385935">
        <w:rPr>
          <w:color w:val="000000" w:themeColor="text1"/>
        </w:rPr>
        <w:t>/min per 1.73m</w:t>
      </w:r>
      <w:r w:rsidR="00F1142A" w:rsidRPr="74385935">
        <w:rPr>
          <w:color w:val="000000" w:themeColor="text1"/>
          <w:vertAlign w:val="superscript"/>
        </w:rPr>
        <w:t>2</w:t>
      </w:r>
      <w:r w:rsidR="00F1142A" w:rsidRPr="74385935">
        <w:rPr>
          <w:color w:val="000000" w:themeColor="text1"/>
        </w:rPr>
        <w:t xml:space="preserve"> or </w:t>
      </w:r>
      <w:r w:rsidR="00A965DC" w:rsidRPr="74385935">
        <w:rPr>
          <w:color w:val="000000" w:themeColor="text1"/>
        </w:rPr>
        <w:t>a c</w:t>
      </w:r>
      <w:r w:rsidR="00560EAE" w:rsidRPr="74385935">
        <w:rPr>
          <w:color w:val="000000" w:themeColor="text1"/>
        </w:rPr>
        <w:t>reatinine clearance</w:t>
      </w:r>
      <w:r w:rsidR="00A965DC" w:rsidRPr="74385935">
        <w:rPr>
          <w:color w:val="000000" w:themeColor="text1"/>
        </w:rPr>
        <w:t xml:space="preserve"> of</w:t>
      </w:r>
      <w:r w:rsidR="00560EAE" w:rsidRPr="74385935">
        <w:rPr>
          <w:color w:val="000000" w:themeColor="text1"/>
        </w:rPr>
        <w:t xml:space="preserve"> less than 60 mL/min</w:t>
      </w:r>
    </w:p>
    <w:p w14:paraId="60BEEBD0" w14:textId="5860CE62" w:rsidR="00E9095D" w:rsidRPr="007F47FD" w:rsidRDefault="000B6A5E" w:rsidP="00DD508F">
      <w:pPr>
        <w:pStyle w:val="Heading3"/>
        <w:spacing w:before="0" w:after="120" w:line="240" w:lineRule="auto"/>
        <w:rPr>
          <w:rFonts w:asciiTheme="minorHAnsi" w:hAnsiTheme="minorHAnsi" w:cstheme="minorBidi"/>
        </w:rPr>
      </w:pPr>
      <w:bookmarkStart w:id="9" w:name="_Toc182989098"/>
      <w:r w:rsidRPr="0294A27B">
        <w:rPr>
          <w:rFonts w:asciiTheme="minorHAnsi" w:hAnsiTheme="minorHAnsi" w:cstheme="minorBidi"/>
        </w:rPr>
        <w:t>Oral PrEP Use</w:t>
      </w:r>
      <w:bookmarkEnd w:id="9"/>
    </w:p>
    <w:p w14:paraId="76A5D753" w14:textId="454DF5CB" w:rsidR="00F54ACA" w:rsidRDefault="001515C9" w:rsidP="1D9AD929">
      <w:pPr>
        <w:pStyle w:val="RISEBodyText"/>
        <w:spacing w:after="120"/>
        <w:rPr>
          <w:rFonts w:asciiTheme="minorHAnsi" w:hAnsiTheme="minorHAnsi" w:cstheme="minorBidi"/>
          <w:color w:val="auto"/>
        </w:rPr>
      </w:pPr>
      <w:bookmarkStart w:id="10" w:name="_heading=h.m4cohhtlr5v8"/>
      <w:bookmarkEnd w:id="10"/>
      <w:r>
        <w:rPr>
          <w:rFonts w:asciiTheme="minorHAnsi" w:hAnsiTheme="minorHAnsi" w:cstheme="minorBidi"/>
          <w:color w:val="auto"/>
        </w:rPr>
        <w:t xml:space="preserve">There are two dosing regimens for TDF-based oral PrEP that vary based on individual characteristics, </w:t>
      </w:r>
      <w:r w:rsidR="00771D8A">
        <w:rPr>
          <w:rFonts w:asciiTheme="minorHAnsi" w:hAnsiTheme="minorHAnsi" w:cstheme="minorBidi"/>
          <w:color w:val="auto"/>
        </w:rPr>
        <w:t>type of exposure, and circumstances.</w:t>
      </w:r>
      <w:r w:rsidR="009B7402">
        <w:rPr>
          <w:rFonts w:asciiTheme="minorHAnsi" w:hAnsiTheme="minorHAnsi" w:cstheme="minorBidi"/>
          <w:color w:val="auto"/>
        </w:rPr>
        <w:t xml:space="preserve"> </w:t>
      </w:r>
    </w:p>
    <w:p w14:paraId="0D3A5C01" w14:textId="4AD60718" w:rsidR="00097063" w:rsidRDefault="00771D8A" w:rsidP="461B9A95">
      <w:pPr>
        <w:pStyle w:val="RISEBodyText"/>
        <w:spacing w:after="120"/>
        <w:rPr>
          <w:rFonts w:asciiTheme="minorHAnsi" w:hAnsiTheme="minorHAnsi" w:cstheme="minorBidi"/>
          <w:color w:val="auto"/>
        </w:rPr>
      </w:pPr>
      <w:r w:rsidRPr="461B9A95">
        <w:rPr>
          <w:rFonts w:asciiTheme="minorHAnsi" w:hAnsiTheme="minorHAnsi" w:cstheme="minorBidi"/>
          <w:color w:val="auto"/>
        </w:rPr>
        <w:t>The first dosing regimen</w:t>
      </w:r>
      <w:r w:rsidR="003D22E2" w:rsidRPr="461B9A95">
        <w:rPr>
          <w:rFonts w:asciiTheme="minorHAnsi" w:hAnsiTheme="minorHAnsi" w:cstheme="minorBidi"/>
          <w:color w:val="auto"/>
        </w:rPr>
        <w:t xml:space="preserve"> </w:t>
      </w:r>
      <w:r w:rsidR="00F5347D" w:rsidRPr="461B9A95">
        <w:rPr>
          <w:rFonts w:asciiTheme="minorHAnsi" w:hAnsiTheme="minorHAnsi" w:cstheme="minorBidi"/>
          <w:color w:val="auto"/>
        </w:rPr>
        <w:t xml:space="preserve">is </w:t>
      </w:r>
      <w:r w:rsidRPr="461B9A95">
        <w:rPr>
          <w:rFonts w:asciiTheme="minorHAnsi" w:hAnsiTheme="minorHAnsi" w:cstheme="minorBidi"/>
          <w:color w:val="auto"/>
        </w:rPr>
        <w:t>for injection-related exposure</w:t>
      </w:r>
      <w:r w:rsidR="002B58FD" w:rsidRPr="461B9A95">
        <w:rPr>
          <w:rFonts w:asciiTheme="minorHAnsi" w:hAnsiTheme="minorHAnsi" w:cstheme="minorBidi"/>
          <w:color w:val="auto"/>
        </w:rPr>
        <w:t>s</w:t>
      </w:r>
      <w:r w:rsidR="0080229A">
        <w:rPr>
          <w:rFonts w:asciiTheme="minorHAnsi" w:hAnsiTheme="minorHAnsi" w:cstheme="minorBidi"/>
          <w:color w:val="auto"/>
        </w:rPr>
        <w:t xml:space="preserve"> and for some individuals with sexual exposures</w:t>
      </w:r>
      <w:r w:rsidRPr="461B9A95">
        <w:rPr>
          <w:rFonts w:asciiTheme="minorHAnsi" w:hAnsiTheme="minorHAnsi" w:cstheme="minorBidi"/>
          <w:color w:val="auto"/>
        </w:rPr>
        <w:t>, including</w:t>
      </w:r>
      <w:r w:rsidR="00097063" w:rsidRPr="461B9A95">
        <w:rPr>
          <w:rFonts w:asciiTheme="minorHAnsi" w:hAnsiTheme="minorHAnsi" w:cstheme="minorBidi"/>
          <w:color w:val="auto"/>
        </w:rPr>
        <w:t>:</w:t>
      </w:r>
    </w:p>
    <w:p w14:paraId="2699BCA3" w14:textId="10BFE65F" w:rsidR="00097063" w:rsidRDefault="00097063" w:rsidP="00097063">
      <w:pPr>
        <w:pStyle w:val="RISEBodyText"/>
        <w:numPr>
          <w:ilvl w:val="0"/>
          <w:numId w:val="55"/>
        </w:numPr>
        <w:spacing w:after="120"/>
        <w:rPr>
          <w:rFonts w:asciiTheme="minorHAnsi" w:hAnsiTheme="minorHAnsi" w:cstheme="minorBidi"/>
          <w:color w:val="auto"/>
        </w:rPr>
      </w:pPr>
      <w:r>
        <w:rPr>
          <w:rFonts w:asciiTheme="minorHAnsi" w:hAnsiTheme="minorHAnsi" w:cstheme="minorBidi"/>
          <w:color w:val="auto"/>
        </w:rPr>
        <w:t>C</w:t>
      </w:r>
      <w:r w:rsidR="00771D8A">
        <w:rPr>
          <w:rFonts w:asciiTheme="minorHAnsi" w:hAnsiTheme="minorHAnsi" w:cstheme="minorBidi"/>
          <w:color w:val="auto"/>
        </w:rPr>
        <w:t>isgender women</w:t>
      </w:r>
    </w:p>
    <w:p w14:paraId="6431CF37" w14:textId="5ADB57F8" w:rsidR="00097063" w:rsidRDefault="00097063" w:rsidP="00097063">
      <w:pPr>
        <w:pStyle w:val="RISEBodyText"/>
        <w:numPr>
          <w:ilvl w:val="0"/>
          <w:numId w:val="55"/>
        </w:numPr>
        <w:spacing w:after="120"/>
        <w:rPr>
          <w:rFonts w:asciiTheme="minorHAnsi" w:hAnsiTheme="minorHAnsi" w:cstheme="minorBidi"/>
          <w:color w:val="auto"/>
        </w:rPr>
      </w:pPr>
      <w:r>
        <w:rPr>
          <w:rFonts w:asciiTheme="minorHAnsi" w:hAnsiTheme="minorHAnsi" w:cstheme="minorBidi"/>
          <w:color w:val="auto"/>
        </w:rPr>
        <w:t>T</w:t>
      </w:r>
      <w:r w:rsidR="00771D8A" w:rsidRPr="00097063">
        <w:rPr>
          <w:rFonts w:asciiTheme="minorHAnsi" w:hAnsiTheme="minorHAnsi" w:cstheme="minorBidi"/>
          <w:color w:val="auto"/>
        </w:rPr>
        <w:t>rans and gender</w:t>
      </w:r>
      <w:r w:rsidR="00E056B8">
        <w:rPr>
          <w:rFonts w:asciiTheme="minorHAnsi" w:hAnsiTheme="minorHAnsi" w:cstheme="minorBidi"/>
          <w:color w:val="auto"/>
        </w:rPr>
        <w:t>-</w:t>
      </w:r>
      <w:r w:rsidR="00771D8A" w:rsidRPr="00097063">
        <w:rPr>
          <w:rFonts w:asciiTheme="minorHAnsi" w:hAnsiTheme="minorHAnsi" w:cstheme="minorBidi"/>
          <w:color w:val="auto"/>
        </w:rPr>
        <w:t>diverse pe</w:t>
      </w:r>
      <w:r w:rsidR="00261E12" w:rsidRPr="00097063">
        <w:rPr>
          <w:rFonts w:asciiTheme="minorHAnsi" w:hAnsiTheme="minorHAnsi" w:cstheme="minorBidi"/>
          <w:color w:val="auto"/>
        </w:rPr>
        <w:t xml:space="preserve">ople AFAB, </w:t>
      </w:r>
      <w:r w:rsidR="00A97F46">
        <w:rPr>
          <w:rFonts w:asciiTheme="minorHAnsi" w:hAnsiTheme="minorHAnsi" w:cstheme="minorBidi"/>
          <w:color w:val="auto"/>
        </w:rPr>
        <w:t>inclusive of</w:t>
      </w:r>
      <w:r>
        <w:rPr>
          <w:rFonts w:asciiTheme="minorHAnsi" w:hAnsiTheme="minorHAnsi" w:cstheme="minorBidi"/>
          <w:color w:val="auto"/>
        </w:rPr>
        <w:t xml:space="preserve"> transgender men</w:t>
      </w:r>
    </w:p>
    <w:p w14:paraId="13F66F07" w14:textId="1E657B93" w:rsidR="007411B7" w:rsidRPr="00294EA6" w:rsidRDefault="00097063" w:rsidP="00294EA6">
      <w:pPr>
        <w:pStyle w:val="RISEBodyText"/>
        <w:numPr>
          <w:ilvl w:val="0"/>
          <w:numId w:val="55"/>
        </w:numPr>
        <w:spacing w:after="120"/>
        <w:rPr>
          <w:rFonts w:asciiTheme="minorHAnsi" w:hAnsiTheme="minorHAnsi" w:cstheme="minorBidi"/>
          <w:color w:val="auto"/>
        </w:rPr>
      </w:pPr>
      <w:r>
        <w:rPr>
          <w:rFonts w:asciiTheme="minorHAnsi" w:hAnsiTheme="minorHAnsi" w:cstheme="minorBidi"/>
          <w:color w:val="auto"/>
        </w:rPr>
        <w:t>T</w:t>
      </w:r>
      <w:r w:rsidR="00261E12" w:rsidRPr="00097063">
        <w:rPr>
          <w:rFonts w:asciiTheme="minorHAnsi" w:hAnsiTheme="minorHAnsi" w:cstheme="minorBidi"/>
          <w:color w:val="auto"/>
        </w:rPr>
        <w:t>rans and gender diverse people AMAB</w:t>
      </w:r>
      <w:r w:rsidR="00A97F46">
        <w:rPr>
          <w:rFonts w:asciiTheme="minorHAnsi" w:hAnsiTheme="minorHAnsi" w:cstheme="minorBidi"/>
          <w:color w:val="auto"/>
        </w:rPr>
        <w:t>, inclusive of transgender women,</w:t>
      </w:r>
      <w:r w:rsidR="00261E12" w:rsidRPr="00097063">
        <w:rPr>
          <w:rFonts w:asciiTheme="minorHAnsi" w:hAnsiTheme="minorHAnsi" w:cstheme="minorBidi"/>
          <w:color w:val="auto"/>
        </w:rPr>
        <w:t xml:space="preserve"> taking </w:t>
      </w:r>
      <w:r w:rsidR="005526B2">
        <w:rPr>
          <w:rFonts w:cs="Calibri"/>
          <w:color w:val="000000" w:themeColor="text1"/>
        </w:rPr>
        <w:t xml:space="preserve">gender-affirming </w:t>
      </w:r>
      <w:r w:rsidR="00261E12" w:rsidRPr="00097063">
        <w:rPr>
          <w:rFonts w:asciiTheme="minorHAnsi" w:hAnsiTheme="minorHAnsi" w:cstheme="minorBidi"/>
          <w:color w:val="auto"/>
        </w:rPr>
        <w:t>hormones</w:t>
      </w:r>
    </w:p>
    <w:p w14:paraId="6E068EFC" w14:textId="364276C4" w:rsidR="00763E30" w:rsidRPr="00763E30" w:rsidRDefault="00763E30" w:rsidP="00267644">
      <w:pPr>
        <w:pStyle w:val="RISEBodyText"/>
        <w:spacing w:after="120"/>
        <w:rPr>
          <w:rFonts w:asciiTheme="minorHAnsi" w:hAnsiTheme="minorHAnsi" w:cstheme="minorBidi"/>
          <w:color w:val="auto"/>
        </w:rPr>
      </w:pPr>
      <w:r>
        <w:rPr>
          <w:rFonts w:asciiTheme="minorHAnsi" w:hAnsiTheme="minorHAnsi" w:cstheme="minorBidi"/>
          <w:color w:val="auto"/>
        </w:rPr>
        <w:t>This</w:t>
      </w:r>
      <w:r w:rsidR="00A26703">
        <w:rPr>
          <w:rFonts w:asciiTheme="minorHAnsi" w:hAnsiTheme="minorHAnsi" w:cstheme="minorBidi"/>
          <w:color w:val="auto"/>
        </w:rPr>
        <w:t xml:space="preserve"> regimen consists of one pill of oral PrEP per day for seven consecutive days prior to exposure to </w:t>
      </w:r>
      <w:r w:rsidR="00A42EBE">
        <w:rPr>
          <w:rFonts w:asciiTheme="minorHAnsi" w:hAnsiTheme="minorHAnsi" w:cstheme="minorBidi"/>
          <w:color w:val="auto"/>
        </w:rPr>
        <w:t>HIV and</w:t>
      </w:r>
      <w:r w:rsidR="00A26703">
        <w:rPr>
          <w:rFonts w:asciiTheme="minorHAnsi" w:hAnsiTheme="minorHAnsi" w:cstheme="minorBidi"/>
          <w:color w:val="auto"/>
        </w:rPr>
        <w:t xml:space="preserve"> continuing to take </w:t>
      </w:r>
      <w:r w:rsidR="00EC297B">
        <w:rPr>
          <w:rFonts w:asciiTheme="minorHAnsi" w:hAnsiTheme="minorHAnsi" w:cstheme="minorBidi"/>
          <w:color w:val="auto"/>
        </w:rPr>
        <w:t xml:space="preserve">one pill per day for the duration of the period of exposure and for at least seven days after the last potential exposure to HIV. </w:t>
      </w:r>
    </w:p>
    <w:p w14:paraId="1AD65D63" w14:textId="7352F0BA" w:rsidR="002B58FD" w:rsidRDefault="006701FE" w:rsidP="00A97F46">
      <w:pPr>
        <w:pStyle w:val="RISEBodyText"/>
        <w:spacing w:after="120"/>
        <w:rPr>
          <w:rFonts w:asciiTheme="minorHAnsi" w:hAnsiTheme="minorHAnsi" w:cstheme="minorBidi"/>
          <w:color w:val="auto"/>
        </w:rPr>
      </w:pPr>
      <w:r w:rsidRPr="00097063">
        <w:rPr>
          <w:rFonts w:asciiTheme="minorHAnsi" w:hAnsiTheme="minorHAnsi" w:cstheme="minorBidi"/>
          <w:color w:val="auto"/>
        </w:rPr>
        <w:t>The second dosing regimen is for people AMAB</w:t>
      </w:r>
      <w:r w:rsidR="00465982">
        <w:rPr>
          <w:rFonts w:asciiTheme="minorHAnsi" w:hAnsiTheme="minorHAnsi" w:cstheme="minorBidi"/>
          <w:color w:val="auto"/>
        </w:rPr>
        <w:t xml:space="preserve"> with sexual exposures </w:t>
      </w:r>
      <w:r w:rsidRPr="00097063">
        <w:rPr>
          <w:rFonts w:asciiTheme="minorHAnsi" w:hAnsiTheme="minorHAnsi" w:cstheme="minorBidi"/>
          <w:color w:val="auto"/>
        </w:rPr>
        <w:t>who are not taking estradiol-based ho</w:t>
      </w:r>
      <w:r w:rsidR="00097063" w:rsidRPr="00097063">
        <w:rPr>
          <w:rFonts w:asciiTheme="minorHAnsi" w:hAnsiTheme="minorHAnsi" w:cstheme="minorBidi"/>
          <w:color w:val="auto"/>
        </w:rPr>
        <w:t>rmones</w:t>
      </w:r>
      <w:r w:rsidR="004465AD">
        <w:rPr>
          <w:rFonts w:asciiTheme="minorHAnsi" w:hAnsiTheme="minorHAnsi" w:cstheme="minorBidi"/>
          <w:color w:val="auto"/>
        </w:rPr>
        <w:t>, including:</w:t>
      </w:r>
    </w:p>
    <w:p w14:paraId="2BC2021B" w14:textId="5A7E3A3A" w:rsidR="004465AD" w:rsidRDefault="004465AD" w:rsidP="461B9A95">
      <w:pPr>
        <w:pStyle w:val="RISEBodyText"/>
        <w:numPr>
          <w:ilvl w:val="0"/>
          <w:numId w:val="56"/>
        </w:numPr>
        <w:spacing w:after="120"/>
        <w:rPr>
          <w:rFonts w:asciiTheme="minorHAnsi" w:hAnsiTheme="minorHAnsi" w:cstheme="minorBidi"/>
          <w:color w:val="auto"/>
        </w:rPr>
      </w:pPr>
      <w:r w:rsidRPr="461B9A95">
        <w:rPr>
          <w:rFonts w:asciiTheme="minorHAnsi" w:hAnsiTheme="minorHAnsi" w:cstheme="minorBidi"/>
          <w:color w:val="auto"/>
        </w:rPr>
        <w:t xml:space="preserve">Cisgender men </w:t>
      </w:r>
    </w:p>
    <w:p w14:paraId="15F7F6C2" w14:textId="6E2C49C8" w:rsidR="002B58FD" w:rsidRDefault="004465AD" w:rsidP="1D9AD929">
      <w:pPr>
        <w:pStyle w:val="RISEBodyText"/>
        <w:numPr>
          <w:ilvl w:val="0"/>
          <w:numId w:val="56"/>
        </w:numPr>
        <w:spacing w:after="120"/>
        <w:rPr>
          <w:rFonts w:asciiTheme="minorHAnsi" w:hAnsiTheme="minorHAnsi" w:cstheme="minorBidi"/>
          <w:color w:val="auto"/>
        </w:rPr>
      </w:pPr>
      <w:r>
        <w:rPr>
          <w:rFonts w:asciiTheme="minorHAnsi" w:hAnsiTheme="minorHAnsi" w:cstheme="minorBidi"/>
          <w:color w:val="auto"/>
        </w:rPr>
        <w:t xml:space="preserve">Trans and gender diverse people AMAB, inclusive of transgender women, who are not taking </w:t>
      </w:r>
      <w:r w:rsidR="005526B2">
        <w:rPr>
          <w:rFonts w:cs="Calibri"/>
          <w:color w:val="000000" w:themeColor="text1"/>
        </w:rPr>
        <w:t xml:space="preserve">gender-affirming </w:t>
      </w:r>
      <w:r w:rsidR="00AE3C6B">
        <w:rPr>
          <w:rFonts w:asciiTheme="minorHAnsi" w:hAnsiTheme="minorHAnsi" w:cstheme="minorBidi"/>
          <w:color w:val="auto"/>
        </w:rPr>
        <w:t>hormones</w:t>
      </w:r>
    </w:p>
    <w:p w14:paraId="45F16ECC" w14:textId="3A66ECC4" w:rsidR="004D5ED6" w:rsidRDefault="00AE3C6B" w:rsidP="00267644">
      <w:pPr>
        <w:pStyle w:val="RISEBodyText"/>
        <w:spacing w:after="120"/>
      </w:pPr>
      <w:r>
        <w:rPr>
          <w:rFonts w:asciiTheme="minorHAnsi" w:hAnsiTheme="minorHAnsi" w:cstheme="minorBidi"/>
          <w:color w:val="auto"/>
        </w:rPr>
        <w:lastRenderedPageBreak/>
        <w:t xml:space="preserve">This regimen consists of </w:t>
      </w:r>
      <w:r w:rsidR="00DC2BD2">
        <w:rPr>
          <w:rFonts w:asciiTheme="minorHAnsi" w:hAnsiTheme="minorHAnsi" w:cstheme="minorBidi"/>
          <w:color w:val="auto"/>
        </w:rPr>
        <w:t xml:space="preserve">two pills taken </w:t>
      </w:r>
      <w:r w:rsidR="00465982">
        <w:rPr>
          <w:rFonts w:asciiTheme="minorHAnsi" w:hAnsiTheme="minorHAnsi" w:cstheme="minorBidi"/>
          <w:color w:val="auto"/>
        </w:rPr>
        <w:t>two to</w:t>
      </w:r>
      <w:r w:rsidR="00735D73">
        <w:rPr>
          <w:rFonts w:asciiTheme="minorHAnsi" w:hAnsiTheme="minorHAnsi" w:cstheme="minorBidi"/>
          <w:color w:val="auto"/>
        </w:rPr>
        <w:t xml:space="preserve"> </w:t>
      </w:r>
      <w:r w:rsidR="00DC2BD2">
        <w:rPr>
          <w:rFonts w:asciiTheme="minorHAnsi" w:hAnsiTheme="minorHAnsi" w:cstheme="minorBidi"/>
          <w:color w:val="auto"/>
        </w:rPr>
        <w:t>24 hours before sex</w:t>
      </w:r>
      <w:r w:rsidR="002D1ECD">
        <w:rPr>
          <w:rFonts w:asciiTheme="minorHAnsi" w:hAnsiTheme="minorHAnsi" w:cstheme="minorBidi"/>
          <w:color w:val="auto"/>
        </w:rPr>
        <w:t>,</w:t>
      </w:r>
      <w:r w:rsidR="00D15F4F">
        <w:rPr>
          <w:rFonts w:asciiTheme="minorHAnsi" w:hAnsiTheme="minorHAnsi" w:cstheme="minorBidi"/>
          <w:color w:val="auto"/>
        </w:rPr>
        <w:t xml:space="preserve"> and then </w:t>
      </w:r>
      <w:r w:rsidR="00311479">
        <w:rPr>
          <w:rFonts w:asciiTheme="minorHAnsi" w:hAnsiTheme="minorHAnsi" w:cstheme="minorBidi"/>
          <w:color w:val="auto"/>
        </w:rPr>
        <w:t xml:space="preserve">one pill taken daily for the period of exposure and for at least two days after the last potential sexual exposure to HIV. </w:t>
      </w:r>
      <w:r w:rsidR="00DC2BD2">
        <w:rPr>
          <w:rFonts w:asciiTheme="minorHAnsi" w:hAnsiTheme="minorHAnsi" w:cstheme="minorBidi"/>
          <w:color w:val="auto"/>
        </w:rPr>
        <w:t xml:space="preserve">Ideally, </w:t>
      </w:r>
      <w:r w:rsidR="00311479">
        <w:rPr>
          <w:rFonts w:asciiTheme="minorHAnsi" w:hAnsiTheme="minorHAnsi" w:cstheme="minorBidi"/>
          <w:color w:val="auto"/>
        </w:rPr>
        <w:t>the</w:t>
      </w:r>
      <w:r w:rsidR="00DC2BD2">
        <w:rPr>
          <w:rFonts w:asciiTheme="minorHAnsi" w:hAnsiTheme="minorHAnsi" w:cstheme="minorBidi"/>
          <w:color w:val="auto"/>
        </w:rPr>
        <w:t xml:space="preserve"> loading dose should be taken closer to 24 hours before sex to allow more time to absorb the medication.</w:t>
      </w:r>
      <w:r w:rsidR="00F20156">
        <w:rPr>
          <w:rFonts w:asciiTheme="minorHAnsi" w:hAnsiTheme="minorHAnsi" w:cstheme="minorBidi"/>
          <w:color w:val="auto"/>
        </w:rPr>
        <w:t xml:space="preserve"> </w:t>
      </w:r>
      <w:r w:rsidR="0095047E">
        <w:rPr>
          <w:rFonts w:asciiTheme="minorHAnsi" w:hAnsiTheme="minorHAnsi" w:cstheme="minorBidi"/>
          <w:color w:val="000000" w:themeColor="text1"/>
        </w:rPr>
        <w:t>Some p</w:t>
      </w:r>
      <w:r w:rsidR="76E79496" w:rsidRPr="1D9AD929">
        <w:rPr>
          <w:rFonts w:asciiTheme="minorHAnsi" w:hAnsiTheme="minorHAnsi" w:cstheme="minorBidi"/>
          <w:color w:val="000000" w:themeColor="text1"/>
        </w:rPr>
        <w:t xml:space="preserve">eople AMAB who are not using </w:t>
      </w:r>
      <w:r w:rsidR="005526B2">
        <w:rPr>
          <w:rFonts w:cs="Calibri"/>
          <w:color w:val="000000" w:themeColor="text1"/>
        </w:rPr>
        <w:t xml:space="preserve">gender-affirming </w:t>
      </w:r>
      <w:r w:rsidR="76E79496" w:rsidRPr="1D9AD929">
        <w:rPr>
          <w:rFonts w:asciiTheme="minorHAnsi" w:hAnsiTheme="minorHAnsi" w:cstheme="minorBidi"/>
          <w:color w:val="000000" w:themeColor="text1"/>
        </w:rPr>
        <w:t xml:space="preserve">hormones </w:t>
      </w:r>
      <w:r w:rsidR="00D125A6">
        <w:rPr>
          <w:rFonts w:asciiTheme="minorHAnsi" w:hAnsiTheme="minorHAnsi" w:cstheme="minorBidi"/>
          <w:color w:val="000000" w:themeColor="text1"/>
        </w:rPr>
        <w:t>may decide to use PrEP this way for single or infrequent potential se</w:t>
      </w:r>
      <w:r w:rsidR="003C4BA5">
        <w:rPr>
          <w:rFonts w:asciiTheme="minorHAnsi" w:hAnsiTheme="minorHAnsi" w:cstheme="minorBidi"/>
          <w:color w:val="000000" w:themeColor="text1"/>
        </w:rPr>
        <w:t>xual exposures</w:t>
      </w:r>
      <w:r w:rsidR="007877A9">
        <w:rPr>
          <w:rFonts w:asciiTheme="minorHAnsi" w:hAnsiTheme="minorHAnsi" w:cstheme="minorBidi"/>
          <w:color w:val="000000" w:themeColor="text1"/>
        </w:rPr>
        <w:t>,</w:t>
      </w:r>
      <w:r w:rsidR="003C4BA5">
        <w:rPr>
          <w:rFonts w:asciiTheme="minorHAnsi" w:hAnsiTheme="minorHAnsi" w:cstheme="minorBidi"/>
          <w:color w:val="000000" w:themeColor="text1"/>
        </w:rPr>
        <w:t xml:space="preserve"> while others may prefer daily use not tied to specific events. These individu</w:t>
      </w:r>
      <w:r w:rsidR="006E0137">
        <w:rPr>
          <w:rFonts w:asciiTheme="minorHAnsi" w:hAnsiTheme="minorHAnsi" w:cstheme="minorBidi"/>
          <w:color w:val="000000" w:themeColor="text1"/>
        </w:rPr>
        <w:t xml:space="preserve">als can </w:t>
      </w:r>
      <w:r w:rsidR="76E79496" w:rsidRPr="1D9AD929">
        <w:rPr>
          <w:rFonts w:asciiTheme="minorHAnsi" w:hAnsiTheme="minorHAnsi" w:cstheme="minorBidi"/>
          <w:color w:val="000000" w:themeColor="text1"/>
        </w:rPr>
        <w:t xml:space="preserve">decide </w:t>
      </w:r>
      <w:r w:rsidR="006E0137">
        <w:rPr>
          <w:rFonts w:asciiTheme="minorHAnsi" w:hAnsiTheme="minorHAnsi" w:cstheme="minorBidi"/>
          <w:color w:val="000000" w:themeColor="text1"/>
        </w:rPr>
        <w:t>how they can use PrEP most effectively within these parameters and be supported to do so</w:t>
      </w:r>
      <w:r w:rsidR="00C4169B">
        <w:rPr>
          <w:rFonts w:asciiTheme="minorHAnsi" w:hAnsiTheme="minorHAnsi" w:cstheme="minorBidi"/>
          <w:color w:val="000000" w:themeColor="text1"/>
        </w:rPr>
        <w:t xml:space="preserve"> </w:t>
      </w:r>
      <w:r w:rsidR="76E79496" w:rsidRPr="1D9AD929">
        <w:rPr>
          <w:rFonts w:asciiTheme="minorHAnsi" w:hAnsiTheme="minorHAnsi" w:cstheme="minorBidi"/>
          <w:color w:val="000000" w:themeColor="text1"/>
        </w:rPr>
        <w:t>to prevent HIV.</w:t>
      </w:r>
      <w:r w:rsidR="2B53C15B" w:rsidRPr="1D9AD929">
        <w:rPr>
          <w:rFonts w:asciiTheme="minorHAnsi" w:hAnsiTheme="minorHAnsi" w:cstheme="minorBidi"/>
          <w:color w:val="auto"/>
        </w:rPr>
        <w:t xml:space="preserve"> </w:t>
      </w:r>
      <w:r w:rsidR="4BC2C762">
        <w:t xml:space="preserve"> </w:t>
      </w:r>
    </w:p>
    <w:p w14:paraId="4A047D03" w14:textId="20BE773F" w:rsidR="000B1A45" w:rsidRPr="002E6EFB" w:rsidRDefault="004B0A3D" w:rsidP="1D9AD929">
      <w:pPr>
        <w:spacing w:after="120" w:line="240" w:lineRule="auto"/>
        <w:rPr>
          <w:color w:val="000000"/>
        </w:rPr>
      </w:pPr>
      <w:r>
        <w:rPr>
          <w:color w:val="000000" w:themeColor="text1"/>
        </w:rPr>
        <w:t>Clients starting oral PrEP should be counseled on using another HIV prevention strategy during</w:t>
      </w:r>
      <w:r w:rsidR="005F361C">
        <w:rPr>
          <w:color w:val="000000" w:themeColor="text1"/>
        </w:rPr>
        <w:t xml:space="preserve"> the time it tak</w:t>
      </w:r>
      <w:r w:rsidR="00522E6F">
        <w:rPr>
          <w:color w:val="000000" w:themeColor="text1"/>
        </w:rPr>
        <w:t>es for the method to be fully effective.</w:t>
      </w:r>
      <w:r>
        <w:rPr>
          <w:color w:val="000000" w:themeColor="text1"/>
        </w:rPr>
        <w:t xml:space="preserve"> </w:t>
      </w:r>
      <w:r w:rsidR="4BC2C762" w:rsidRPr="1D9AD929">
        <w:rPr>
          <w:color w:val="000000" w:themeColor="text1"/>
        </w:rPr>
        <w:t xml:space="preserve">Note that the procedures for stopping oral PrEP are the same </w:t>
      </w:r>
      <w:r w:rsidR="3ED1C2AB" w:rsidRPr="1D9AD929">
        <w:rPr>
          <w:color w:val="000000" w:themeColor="text1"/>
        </w:rPr>
        <w:t xml:space="preserve">whether a client </w:t>
      </w:r>
      <w:r w:rsidR="7D0733F9" w:rsidRPr="1D9AD929">
        <w:rPr>
          <w:color w:val="000000" w:themeColor="text1"/>
        </w:rPr>
        <w:t>is stopping oral PrEP for a specific amount of time or intend</w:t>
      </w:r>
      <w:r w:rsidR="4F400F1E" w:rsidRPr="1D9AD929">
        <w:rPr>
          <w:color w:val="000000" w:themeColor="text1"/>
        </w:rPr>
        <w:t>s</w:t>
      </w:r>
      <w:r w:rsidR="7D0733F9" w:rsidRPr="1D9AD929">
        <w:rPr>
          <w:color w:val="000000" w:themeColor="text1"/>
        </w:rPr>
        <w:t xml:space="preserve"> to discontinue oral PrEP use indefinitely</w:t>
      </w:r>
      <w:r w:rsidR="3BD55970" w:rsidRPr="1D9AD929">
        <w:rPr>
          <w:color w:val="000000" w:themeColor="text1"/>
        </w:rPr>
        <w:t>.</w:t>
      </w:r>
      <w:r w:rsidR="00731ED2">
        <w:rPr>
          <w:color w:val="000000" w:themeColor="text1"/>
        </w:rPr>
        <w:t xml:space="preserve"> </w:t>
      </w:r>
      <w:r w:rsidR="5871D16E" w:rsidRPr="1D9AD929">
        <w:rPr>
          <w:color w:val="000000" w:themeColor="text1"/>
        </w:rPr>
        <w:t>I</w:t>
      </w:r>
      <w:r w:rsidR="4BC2C762" w:rsidRPr="1D9AD929">
        <w:rPr>
          <w:color w:val="000000" w:themeColor="text1"/>
        </w:rPr>
        <w:t xml:space="preserve">deally, clients who are discontinuing </w:t>
      </w:r>
      <w:r w:rsidR="64274A72" w:rsidRPr="1D9AD929">
        <w:rPr>
          <w:color w:val="000000" w:themeColor="text1"/>
        </w:rPr>
        <w:t xml:space="preserve">oral </w:t>
      </w:r>
      <w:r w:rsidR="4BC2C762" w:rsidRPr="1D9AD929">
        <w:rPr>
          <w:color w:val="000000" w:themeColor="text1"/>
        </w:rPr>
        <w:t>PrEP</w:t>
      </w:r>
      <w:r w:rsidR="3BD55970" w:rsidRPr="1D9AD929">
        <w:rPr>
          <w:color w:val="000000" w:themeColor="text1"/>
        </w:rPr>
        <w:t xml:space="preserve"> </w:t>
      </w:r>
      <w:r w:rsidR="4BC2C762" w:rsidRPr="1D9AD929">
        <w:rPr>
          <w:color w:val="000000" w:themeColor="text1"/>
        </w:rPr>
        <w:t xml:space="preserve">use </w:t>
      </w:r>
      <w:r w:rsidR="3BD55970" w:rsidRPr="1D9AD929">
        <w:rPr>
          <w:color w:val="000000" w:themeColor="text1"/>
        </w:rPr>
        <w:t xml:space="preserve">indefinitely </w:t>
      </w:r>
      <w:r w:rsidR="4BC2C762" w:rsidRPr="1D9AD929">
        <w:rPr>
          <w:color w:val="000000" w:themeColor="text1"/>
        </w:rPr>
        <w:t xml:space="preserve">will </w:t>
      </w:r>
      <w:r w:rsidR="19101A4D" w:rsidRPr="1D9AD929">
        <w:rPr>
          <w:color w:val="000000" w:themeColor="text1"/>
        </w:rPr>
        <w:t>advise</w:t>
      </w:r>
      <w:r w:rsidR="4BC2C762" w:rsidRPr="1D9AD929">
        <w:rPr>
          <w:color w:val="000000" w:themeColor="text1"/>
        </w:rPr>
        <w:t xml:space="preserve"> their provider</w:t>
      </w:r>
      <w:r w:rsidR="5CC6BAEA" w:rsidRPr="1D9AD929">
        <w:rPr>
          <w:color w:val="000000" w:themeColor="text1"/>
        </w:rPr>
        <w:t>(</w:t>
      </w:r>
      <w:r w:rsidR="4BC2C762" w:rsidRPr="1D9AD929">
        <w:rPr>
          <w:color w:val="000000" w:themeColor="text1"/>
        </w:rPr>
        <w:t>s</w:t>
      </w:r>
      <w:r w:rsidR="5D29ECD5" w:rsidRPr="1D9AD929">
        <w:rPr>
          <w:color w:val="000000" w:themeColor="text1"/>
        </w:rPr>
        <w:t>)</w:t>
      </w:r>
      <w:r w:rsidR="4BC2C762" w:rsidRPr="1D9AD929">
        <w:rPr>
          <w:color w:val="000000" w:themeColor="text1"/>
        </w:rPr>
        <w:t xml:space="preserve"> and receive support to use other HIV prevention </w:t>
      </w:r>
      <w:r w:rsidR="01B325C7" w:rsidRPr="1D9AD929">
        <w:rPr>
          <w:color w:val="000000" w:themeColor="text1"/>
        </w:rPr>
        <w:t xml:space="preserve">strategies </w:t>
      </w:r>
      <w:r w:rsidR="4BC2C762" w:rsidRPr="1D9AD929">
        <w:rPr>
          <w:color w:val="000000" w:themeColor="text1"/>
        </w:rPr>
        <w:t>if still needed</w:t>
      </w:r>
      <w:r w:rsidR="4BC2C762" w:rsidRPr="1D9AD929">
        <w:rPr>
          <w:i/>
          <w:iCs/>
          <w:color w:val="000000" w:themeColor="text1"/>
        </w:rPr>
        <w:t>.</w:t>
      </w:r>
      <w:r w:rsidR="00D7034C">
        <w:rPr>
          <w:i/>
          <w:iCs/>
          <w:color w:val="000000" w:themeColor="text1"/>
        </w:rPr>
        <w:t xml:space="preserve"> </w:t>
      </w:r>
      <w:r w:rsidR="00BB10F3">
        <w:rPr>
          <w:color w:val="000000" w:themeColor="text1"/>
        </w:rPr>
        <w:t>For these clients in particular, r</w:t>
      </w:r>
      <w:r w:rsidR="001C2DBD">
        <w:rPr>
          <w:color w:val="000000" w:themeColor="text1"/>
        </w:rPr>
        <w:t>egular HIV testing should be encouraged</w:t>
      </w:r>
      <w:r w:rsidR="00BB10F3">
        <w:rPr>
          <w:color w:val="000000" w:themeColor="text1"/>
        </w:rPr>
        <w:t>.</w:t>
      </w:r>
    </w:p>
    <w:p w14:paraId="752EF308" w14:textId="26121943" w:rsidR="001B251C" w:rsidRDefault="000B6DEC">
      <w:r>
        <w:t xml:space="preserve">Further details on starting and stopping oral PrEP for different populations are </w:t>
      </w:r>
      <w:r w:rsidR="001B251C">
        <w:t xml:space="preserve">shown in </w:t>
      </w:r>
      <w:r w:rsidR="001B251C" w:rsidRPr="0014481C">
        <w:rPr>
          <w:i/>
          <w:iCs/>
        </w:rPr>
        <w:t>Figure</w:t>
      </w:r>
      <w:r w:rsidR="009B3AE1">
        <w:rPr>
          <w:i/>
          <w:iCs/>
        </w:rPr>
        <w:t>s</w:t>
      </w:r>
      <w:r w:rsidR="001B251C" w:rsidRPr="0014481C">
        <w:rPr>
          <w:i/>
          <w:iCs/>
        </w:rPr>
        <w:t xml:space="preserve"> 1</w:t>
      </w:r>
      <w:r w:rsidR="001B251C">
        <w:t xml:space="preserve"> and </w:t>
      </w:r>
      <w:r w:rsidR="001B251C" w:rsidRPr="0014481C">
        <w:rPr>
          <w:i/>
          <w:iCs/>
        </w:rPr>
        <w:t>2</w:t>
      </w:r>
      <w:r>
        <w:t xml:space="preserve">. </w:t>
      </w:r>
    </w:p>
    <w:p w14:paraId="183DE38F" w14:textId="77777777" w:rsidR="001B251C" w:rsidRDefault="001B251C" w:rsidP="00313A41">
      <w:bookmarkStart w:id="11" w:name="_Toc10553354"/>
      <w:bookmarkStart w:id="12" w:name="_Toc31180117"/>
      <w:bookmarkStart w:id="13" w:name="_Toc31190668"/>
      <w:bookmarkStart w:id="14" w:name="_Toc61604570"/>
    </w:p>
    <w:p w14:paraId="6592C805" w14:textId="0680DA28" w:rsidR="00313A41" w:rsidRDefault="00313A41" w:rsidP="00313A41">
      <w:r>
        <w:t xml:space="preserve">Figure 1. Oral PrEP dosing regimen for </w:t>
      </w:r>
      <w:r w:rsidR="00812AC2">
        <w:t>p</w:t>
      </w:r>
      <w:r w:rsidR="00812AC2" w:rsidRPr="00812AC2">
        <w:t>eople AFAB who are using oral PrEP to prevent HIV acquisition during sex</w:t>
      </w:r>
      <w:r w:rsidR="00AD1E89">
        <w:t xml:space="preserve">, including cisgender women, </w:t>
      </w:r>
      <w:r w:rsidR="00812AC2">
        <w:t xml:space="preserve">trans and gender diverse people AFAB inclusive of transgender men, </w:t>
      </w:r>
      <w:r w:rsidR="00484A66">
        <w:t>trans and gender diverse people AMAB inclusive of transgender women, taking</w:t>
      </w:r>
      <w:r w:rsidR="00AD1E89">
        <w:t xml:space="preserve"> exogenous estradiol-based hormones and people who </w:t>
      </w:r>
      <w:r w:rsidR="00484A66">
        <w:t>share injection-related material</w:t>
      </w:r>
      <w:r w:rsidR="00AD1E89">
        <w:t xml:space="preserve">. </w:t>
      </w:r>
    </w:p>
    <w:p w14:paraId="4A45CC24" w14:textId="43DBFA34" w:rsidR="00AD1E89" w:rsidRDefault="00AD1E89" w:rsidP="0014481C">
      <w:pPr>
        <w:jc w:val="center"/>
      </w:pPr>
      <w:r w:rsidRPr="00AD1E89">
        <w:rPr>
          <w:noProof/>
        </w:rPr>
        <w:drawing>
          <wp:inline distT="0" distB="0" distL="0" distR="0" wp14:anchorId="691A85DD" wp14:editId="398E5B7B">
            <wp:extent cx="5849166" cy="2238687"/>
            <wp:effectExtent l="0" t="0" r="0" b="9525"/>
            <wp:docPr id="146275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9630" name=""/>
                    <pic:cNvPicPr/>
                  </pic:nvPicPr>
                  <pic:blipFill>
                    <a:blip r:embed="rId22"/>
                    <a:stretch>
                      <a:fillRect/>
                    </a:stretch>
                  </pic:blipFill>
                  <pic:spPr>
                    <a:xfrm>
                      <a:off x="0" y="0"/>
                      <a:ext cx="5849166" cy="2238687"/>
                    </a:xfrm>
                    <a:prstGeom prst="rect">
                      <a:avLst/>
                    </a:prstGeom>
                  </pic:spPr>
                </pic:pic>
              </a:graphicData>
            </a:graphic>
          </wp:inline>
        </w:drawing>
      </w:r>
    </w:p>
    <w:p w14:paraId="23614C65" w14:textId="0C3D7619" w:rsidR="00AD1E89" w:rsidRDefault="00080FCF" w:rsidP="00313A41">
      <w:pPr>
        <w:rPr>
          <w:i/>
          <w:iCs/>
        </w:rPr>
      </w:pPr>
      <w:r>
        <w:rPr>
          <w:i/>
          <w:iCs/>
        </w:rPr>
        <w:t xml:space="preserve">Included from WHO Implementation Tool 2024. </w:t>
      </w:r>
    </w:p>
    <w:p w14:paraId="0EFC6429" w14:textId="77777777" w:rsidR="00080FCF" w:rsidRDefault="00080FCF" w:rsidP="00313A41">
      <w:pPr>
        <w:rPr>
          <w:i/>
          <w:iCs/>
        </w:rPr>
      </w:pPr>
    </w:p>
    <w:p w14:paraId="6931A5A6" w14:textId="77777777" w:rsidR="001B251C" w:rsidRDefault="001B251C" w:rsidP="00313A41"/>
    <w:p w14:paraId="09EB4D6C" w14:textId="77777777" w:rsidR="001B251C" w:rsidRDefault="001B251C" w:rsidP="00313A41"/>
    <w:p w14:paraId="2502B9B7" w14:textId="77777777" w:rsidR="001B251C" w:rsidRDefault="001B251C" w:rsidP="00313A41"/>
    <w:p w14:paraId="631C91AE" w14:textId="77777777" w:rsidR="001B251C" w:rsidRDefault="001B251C" w:rsidP="00313A41"/>
    <w:p w14:paraId="34F0A5D0" w14:textId="77777777" w:rsidR="001B251C" w:rsidRDefault="001B251C" w:rsidP="00313A41"/>
    <w:p w14:paraId="6E947F14" w14:textId="77777777" w:rsidR="001B251C" w:rsidRDefault="001B251C" w:rsidP="00313A41"/>
    <w:p w14:paraId="574484AC" w14:textId="77777777" w:rsidR="001B251C" w:rsidRDefault="001B251C" w:rsidP="00313A41"/>
    <w:p w14:paraId="6C3C5FE7" w14:textId="77777777" w:rsidR="001B251C" w:rsidRDefault="001B251C" w:rsidP="00313A41"/>
    <w:p w14:paraId="1FF9DB20" w14:textId="77777777" w:rsidR="001B251C" w:rsidRDefault="001B251C" w:rsidP="00313A41"/>
    <w:p w14:paraId="6B0556EF" w14:textId="72E03FBB" w:rsidR="00080FCF" w:rsidRDefault="00080FCF" w:rsidP="00313A41">
      <w:pPr>
        <w:rPr>
          <w:rFonts w:cs="Calibri"/>
          <w:color w:val="000000" w:themeColor="text1"/>
        </w:rPr>
      </w:pPr>
      <w:r>
        <w:lastRenderedPageBreak/>
        <w:t xml:space="preserve">Figure 2. Oral PrEP dosing regimen for </w:t>
      </w:r>
      <w:r w:rsidR="0058244D">
        <w:t>p</w:t>
      </w:r>
      <w:r w:rsidR="00484A66">
        <w:t xml:space="preserve">eople AMAB who are not using </w:t>
      </w:r>
      <w:r w:rsidR="0058244D">
        <w:rPr>
          <w:rFonts w:cs="Calibri"/>
          <w:color w:val="000000" w:themeColor="text1"/>
        </w:rPr>
        <w:t xml:space="preserve">exogenous estradiol-based hormones </w:t>
      </w:r>
      <w:r w:rsidR="00484A66">
        <w:t>and are using oral PrEP to prevent HIV acquisition during sex</w:t>
      </w:r>
      <w:r w:rsidR="0058244D">
        <w:t xml:space="preserve">, including </w:t>
      </w:r>
      <w:r w:rsidR="0058244D">
        <w:rPr>
          <w:color w:val="000000" w:themeColor="dark1"/>
          <w:kern w:val="24"/>
        </w:rPr>
        <w:t>t</w:t>
      </w:r>
      <w:r w:rsidR="0058244D" w:rsidRPr="00715EF2">
        <w:rPr>
          <w:color w:val="000000" w:themeColor="dark1"/>
          <w:kern w:val="24"/>
        </w:rPr>
        <w:t xml:space="preserve">rans and gender diverse people AMAB, inclusive of transgender women, who are not taking </w:t>
      </w:r>
      <w:r w:rsidR="0058244D">
        <w:rPr>
          <w:rFonts w:cs="Calibri"/>
          <w:color w:val="000000" w:themeColor="text1"/>
        </w:rPr>
        <w:t xml:space="preserve">exogenous estradiol-based hormones. </w:t>
      </w:r>
    </w:p>
    <w:p w14:paraId="6642D4C1" w14:textId="09CBDDD8" w:rsidR="002C5049" w:rsidRDefault="002C5049" w:rsidP="002C5049">
      <w:pPr>
        <w:jc w:val="center"/>
      </w:pPr>
      <w:r w:rsidRPr="002C5049">
        <w:rPr>
          <w:noProof/>
        </w:rPr>
        <w:drawing>
          <wp:inline distT="0" distB="0" distL="0" distR="0" wp14:anchorId="6D0A64C2" wp14:editId="614A5B2A">
            <wp:extent cx="4442845" cy="3718882"/>
            <wp:effectExtent l="0" t="0" r="0" b="0"/>
            <wp:docPr id="198486346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3464" name="Picture 1" descr="A diagram of a diagram&#10;&#10;Description automatically generated with medium confidence"/>
                    <pic:cNvPicPr/>
                  </pic:nvPicPr>
                  <pic:blipFill>
                    <a:blip r:embed="rId23"/>
                    <a:stretch>
                      <a:fillRect/>
                    </a:stretch>
                  </pic:blipFill>
                  <pic:spPr>
                    <a:xfrm>
                      <a:off x="0" y="0"/>
                      <a:ext cx="4442845" cy="3718882"/>
                    </a:xfrm>
                    <a:prstGeom prst="rect">
                      <a:avLst/>
                    </a:prstGeom>
                  </pic:spPr>
                </pic:pic>
              </a:graphicData>
            </a:graphic>
          </wp:inline>
        </w:drawing>
      </w:r>
    </w:p>
    <w:p w14:paraId="3AF5830A" w14:textId="32540654" w:rsidR="002C5049" w:rsidRPr="0014481C" w:rsidRDefault="002C5049" w:rsidP="0014481C">
      <w:pPr>
        <w:rPr>
          <w:i/>
          <w:iCs/>
        </w:rPr>
      </w:pPr>
      <w:r>
        <w:rPr>
          <w:i/>
          <w:iCs/>
        </w:rPr>
        <w:t xml:space="preserve">Included from WHO Implementation Tool 2024. </w:t>
      </w:r>
    </w:p>
    <w:p w14:paraId="20930B7F" w14:textId="77777777" w:rsidR="000C0127" w:rsidRDefault="000C0127" w:rsidP="00415796">
      <w:pPr>
        <w:rPr>
          <w:b/>
        </w:rPr>
      </w:pPr>
    </w:p>
    <w:p w14:paraId="44C2972D" w14:textId="76980D1D" w:rsidR="00D13C2B" w:rsidRPr="007F47FD" w:rsidRDefault="00D13C2B" w:rsidP="002E62C3">
      <w:pPr>
        <w:pStyle w:val="Heading2"/>
      </w:pPr>
      <w:bookmarkStart w:id="15" w:name="_Toc182989099"/>
      <w:bookmarkEnd w:id="11"/>
      <w:bookmarkEnd w:id="12"/>
      <w:bookmarkEnd w:id="13"/>
      <w:bookmarkEnd w:id="14"/>
      <w:r w:rsidRPr="0294A27B">
        <w:t>Overview of the PrEP Ring</w:t>
      </w:r>
      <w:bookmarkEnd w:id="15"/>
    </w:p>
    <w:p w14:paraId="1935B34C" w14:textId="28F0AF67" w:rsidR="00816970" w:rsidRDefault="4EAB14F1" w:rsidP="1D9AD929">
      <w:pPr>
        <w:spacing w:after="120" w:line="240" w:lineRule="auto"/>
        <w:rPr>
          <w:lang w:val="en-GB"/>
        </w:rPr>
      </w:pPr>
      <w:r w:rsidRPr="007F47FD">
        <w:rPr>
          <w:lang w:val="en-GB"/>
        </w:rPr>
        <w:t>The PrEP ring</w:t>
      </w:r>
      <w:r w:rsidR="3A4E0124" w:rsidRPr="007F47FD">
        <w:rPr>
          <w:lang w:val="en-GB"/>
        </w:rPr>
        <w:t xml:space="preserve"> is a long-acting HIV prevention </w:t>
      </w:r>
      <w:r w:rsidR="11AAD603" w:rsidRPr="007F47FD">
        <w:rPr>
          <w:lang w:val="en-GB"/>
        </w:rPr>
        <w:t>method</w:t>
      </w:r>
      <w:r w:rsidR="3A4E0124" w:rsidRPr="007F47FD">
        <w:rPr>
          <w:lang w:val="en-GB"/>
        </w:rPr>
        <w:t xml:space="preserve"> </w:t>
      </w:r>
      <w:r w:rsidR="4763E310" w:rsidRPr="007F47FD">
        <w:rPr>
          <w:lang w:val="en-GB"/>
        </w:rPr>
        <w:t>that</w:t>
      </w:r>
      <w:r w:rsidR="3A4E0124" w:rsidRPr="007F47FD">
        <w:t xml:space="preserve"> has been studied for </w:t>
      </w:r>
      <w:r w:rsidR="142D9EE7" w:rsidRPr="007F47FD">
        <w:t xml:space="preserve">HIV </w:t>
      </w:r>
      <w:r w:rsidR="3A4E0124" w:rsidRPr="007F47FD">
        <w:t xml:space="preserve">prevention </w:t>
      </w:r>
      <w:r w:rsidR="01EB2256" w:rsidRPr="007F47FD">
        <w:t>among</w:t>
      </w:r>
      <w:r w:rsidR="3A4E0124" w:rsidRPr="007F47FD">
        <w:t xml:space="preserve"> </w:t>
      </w:r>
      <w:r w:rsidR="4829E74D" w:rsidRPr="007F47FD">
        <w:t>people</w:t>
      </w:r>
      <w:r w:rsidR="3A4E0124" w:rsidRPr="007F47FD">
        <w:t xml:space="preserve"> </w:t>
      </w:r>
      <w:r w:rsidR="00557A3C">
        <w:t>AFAB and</w:t>
      </w:r>
      <w:r w:rsidR="5465D290">
        <w:t xml:space="preserve"> is recommended by WHO for use by cisgender women</w:t>
      </w:r>
      <w:r w:rsidR="185B0172" w:rsidRPr="007F47FD">
        <w:t>.</w:t>
      </w:r>
      <w:r w:rsidR="786EC669" w:rsidRPr="007F47FD">
        <w:t xml:space="preserve"> </w:t>
      </w:r>
      <w:r w:rsidR="00F72700">
        <w:t>Currently, the ring is</w:t>
      </w:r>
      <w:r w:rsidR="00A611E6">
        <w:t xml:space="preserve"> recommended </w:t>
      </w:r>
      <w:r w:rsidR="001E1845">
        <w:t xml:space="preserve">only </w:t>
      </w:r>
      <w:r w:rsidR="00F72700">
        <w:t xml:space="preserve">for prevention of </w:t>
      </w:r>
      <w:r w:rsidR="00C157DE">
        <w:t xml:space="preserve">HIV acquisition through </w:t>
      </w:r>
      <w:r w:rsidR="00D039A6">
        <w:t>receptive vaginal sex</w:t>
      </w:r>
      <w:r w:rsidR="3A4E0124" w:rsidRPr="00B74B70">
        <w:t>.</w:t>
      </w:r>
      <w:r w:rsidR="009C7445" w:rsidRPr="007F47FD" w:rsidDel="3A4E0124">
        <w:rPr>
          <w:lang w:val="en-GB"/>
        </w:rPr>
        <w:t xml:space="preserve"> </w:t>
      </w:r>
      <w:r w:rsidR="001E1845" w:rsidRPr="00B74B70">
        <w:rPr>
          <w:lang w:val="en-GB"/>
        </w:rPr>
        <w:t>It is inserted into the vagina and should remain in place for 28 days.</w:t>
      </w:r>
      <w:r w:rsidR="00AB2BBF">
        <w:rPr>
          <w:lang w:val="en-GB"/>
        </w:rPr>
        <w:t xml:space="preserve"> </w:t>
      </w:r>
      <w:r w:rsidR="3A4E0124" w:rsidRPr="007F47FD">
        <w:rPr>
          <w:lang w:val="en-GB"/>
        </w:rPr>
        <w:t>The ring is made of a flexible silicone material containing 25</w:t>
      </w:r>
      <w:r w:rsidR="02B56C27" w:rsidRPr="00B74B70">
        <w:rPr>
          <w:lang w:val="en-GB"/>
        </w:rPr>
        <w:t xml:space="preserve"> </w:t>
      </w:r>
      <w:r w:rsidR="3A4E0124" w:rsidRPr="00B74B70">
        <w:rPr>
          <w:lang w:val="en-GB"/>
        </w:rPr>
        <w:t xml:space="preserve">mg of </w:t>
      </w:r>
      <w:r w:rsidR="00082439">
        <w:rPr>
          <w:lang w:val="en-GB"/>
        </w:rPr>
        <w:t>dapi</w:t>
      </w:r>
      <w:r w:rsidR="0004008B">
        <w:rPr>
          <w:lang w:val="en-GB"/>
        </w:rPr>
        <w:t>v</w:t>
      </w:r>
      <w:r w:rsidR="00082439">
        <w:rPr>
          <w:lang w:val="en-GB"/>
        </w:rPr>
        <w:t xml:space="preserve">irine, </w:t>
      </w:r>
      <w:r w:rsidR="3A4E0124" w:rsidRPr="00B74B70">
        <w:rPr>
          <w:lang w:val="en-GB"/>
        </w:rPr>
        <w:t>an ARV drug. Dapivirine belongs to a class of ARVs called non-nucleoside reverse transcriptase inhibitors (NNRTI</w:t>
      </w:r>
      <w:r w:rsidR="00F163A4">
        <w:rPr>
          <w:lang w:val="en-GB"/>
        </w:rPr>
        <w:t>s</w:t>
      </w:r>
      <w:r w:rsidR="3A4E0124" w:rsidRPr="00B74B70">
        <w:rPr>
          <w:lang w:val="en-GB"/>
        </w:rPr>
        <w:t xml:space="preserve">) that reduce the ability of HIV to replicate itself inside a healthy cell. The ring delivers the drug directly to the site of potential infection over the course of one month, with low absorption elsewhere in the body, lowering the likelihood of systemic side effects. </w:t>
      </w:r>
      <w:r w:rsidR="001727BD">
        <w:rPr>
          <w:lang w:val="en-GB"/>
        </w:rPr>
        <w:t>Each month, c</w:t>
      </w:r>
      <w:r w:rsidR="3A4E0124" w:rsidRPr="00B74B70">
        <w:rPr>
          <w:lang w:val="en-GB"/>
        </w:rPr>
        <w:t>lients can insert, remove, and replace the ring themselves or with the assistance of a health</w:t>
      </w:r>
      <w:r w:rsidR="23318329" w:rsidRPr="00B74B70">
        <w:rPr>
          <w:lang w:val="en-GB"/>
        </w:rPr>
        <w:t xml:space="preserve"> </w:t>
      </w:r>
      <w:r w:rsidR="3A4E0124" w:rsidRPr="00B74B70">
        <w:rPr>
          <w:lang w:val="en-GB"/>
        </w:rPr>
        <w:t>care provider if desired</w:t>
      </w:r>
      <w:r w:rsidR="00FA7EB8">
        <w:rPr>
          <w:lang w:val="en-GB"/>
        </w:rPr>
        <w:t>.</w:t>
      </w:r>
    </w:p>
    <w:p w14:paraId="5468058A" w14:textId="3ABF4486" w:rsidR="00AC0940" w:rsidRPr="00B74B70" w:rsidRDefault="00636495" w:rsidP="1D9AD929">
      <w:pPr>
        <w:spacing w:after="120" w:line="240" w:lineRule="auto"/>
        <w:rPr>
          <w:i/>
          <w:iCs/>
          <w:color w:val="000000" w:themeColor="text1"/>
        </w:rPr>
      </w:pPr>
      <w:r>
        <w:t>Safety studies of PrEP ring use during pregnancy and breastfeeding have shown a favorable safety profile</w:t>
      </w:r>
      <w:r w:rsidR="00CE7F23" w:rsidRPr="00B07919">
        <w:t>, with adverse pregnancy outcomes and complications proving uncommon</w:t>
      </w:r>
      <w:r w:rsidR="00E15D2F" w:rsidRPr="00B07919">
        <w:t xml:space="preserve"> and dapivirine concentrations detected at extremely low levels in infant plasma samples</w:t>
      </w:r>
      <w:r w:rsidR="00875691" w:rsidRPr="000E0130">
        <w:t>.</w:t>
      </w:r>
      <w:r w:rsidR="00ED4547" w:rsidRPr="00B07919">
        <w:rPr>
          <w:rStyle w:val="FootnoteReference"/>
        </w:rPr>
        <w:footnoteReference w:id="16"/>
      </w:r>
      <w:r w:rsidR="002F128A" w:rsidRPr="00B07919">
        <w:rPr>
          <w:vertAlign w:val="superscript"/>
        </w:rPr>
        <w:t>,</w:t>
      </w:r>
      <w:r w:rsidR="00F77BE8" w:rsidRPr="000E0130">
        <w:rPr>
          <w:rStyle w:val="FootnoteReference"/>
        </w:rPr>
        <w:footnoteReference w:id="17"/>
      </w:r>
      <w:r w:rsidR="002F128A" w:rsidRPr="000E0130">
        <w:rPr>
          <w:vertAlign w:val="superscript"/>
        </w:rPr>
        <w:t>,</w:t>
      </w:r>
      <w:r w:rsidR="004F4C60" w:rsidRPr="00B07919" w:rsidDel="004F4C60">
        <w:rPr>
          <w:rStyle w:val="FootnoteReference"/>
        </w:rPr>
        <w:t xml:space="preserve"> </w:t>
      </w:r>
      <w:r w:rsidR="00480DE8">
        <w:rPr>
          <w:rStyle w:val="FootnoteReference"/>
        </w:rPr>
        <w:footnoteReference w:id="18"/>
      </w:r>
      <w:r w:rsidR="00903C5C" w:rsidRPr="00BC3F3F">
        <w:rPr>
          <w:vertAlign w:val="superscript"/>
        </w:rPr>
        <w:t>,</w:t>
      </w:r>
      <w:r w:rsidR="002F128A" w:rsidRPr="000E0130">
        <w:rPr>
          <w:rStyle w:val="FootnoteReference"/>
        </w:rPr>
        <w:footnoteReference w:id="19"/>
      </w:r>
      <w:r w:rsidR="00875691" w:rsidRPr="000E0130">
        <w:t xml:space="preserve"> </w:t>
      </w:r>
      <w:r w:rsidR="00CD066A" w:rsidRPr="000E0130">
        <w:t xml:space="preserve">In a small study of </w:t>
      </w:r>
      <w:r w:rsidR="00F1331A" w:rsidRPr="000E0130">
        <w:t xml:space="preserve">PrEP ring use </w:t>
      </w:r>
      <w:r w:rsidR="00CD066A" w:rsidRPr="000E0130">
        <w:t xml:space="preserve">among lactating people, ring </w:t>
      </w:r>
      <w:r w:rsidR="00CD066A" w:rsidRPr="000E0130">
        <w:lastRenderedPageBreak/>
        <w:t xml:space="preserve">use </w:t>
      </w:r>
      <w:r w:rsidR="00F1331A" w:rsidRPr="000E0130">
        <w:t xml:space="preserve">was associated with low concentrations of detectable dapivirine in breastmilk and </w:t>
      </w:r>
      <w:r w:rsidR="006C152A" w:rsidRPr="000E0130">
        <w:t>plasma and</w:t>
      </w:r>
      <w:r w:rsidR="00F1331A" w:rsidRPr="000E0130">
        <w:t xml:space="preserve"> was shown to have a favorable safety profile.</w:t>
      </w:r>
      <w:r w:rsidR="00A00D94" w:rsidRPr="000E0130">
        <w:rPr>
          <w:rStyle w:val="FootnoteReference"/>
        </w:rPr>
        <w:footnoteReference w:id="20"/>
      </w:r>
      <w:r w:rsidR="00F1331A" w:rsidRPr="000E0130">
        <w:t xml:space="preserve"> Results from a clinical trial of ring use while breastfeeding demonstrated a favorable safety profile of the PrEP ring in </w:t>
      </w:r>
      <w:r w:rsidR="00A00D94" w:rsidRPr="000E0130">
        <w:t>both breastfeeding people and infants</w:t>
      </w:r>
      <w:r w:rsidR="00BD7616" w:rsidRPr="000E0130">
        <w:t>.</w:t>
      </w:r>
      <w:r w:rsidR="00BD7616" w:rsidRPr="000E0130">
        <w:rPr>
          <w:rStyle w:val="FootnoteReference"/>
        </w:rPr>
        <w:footnoteReference w:id="21"/>
      </w:r>
      <w:r w:rsidR="00BD7616" w:rsidRPr="000E0130">
        <w:t xml:space="preserve"> </w:t>
      </w:r>
      <w:r w:rsidR="34984636" w:rsidRPr="000E0130">
        <w:t>For more information on ring use during pregnancy and</w:t>
      </w:r>
      <w:r w:rsidR="34984636" w:rsidRPr="00B74B70">
        <w:t xml:space="preserve"> breastfeeding, s</w:t>
      </w:r>
      <w:r w:rsidR="34984636" w:rsidRPr="00B74B70">
        <w:rPr>
          <w:color w:val="000000" w:themeColor="text1"/>
        </w:rPr>
        <w:t xml:space="preserve">ee </w:t>
      </w:r>
      <w:r w:rsidR="34984636" w:rsidRPr="1D9AD929">
        <w:rPr>
          <w:i/>
          <w:iCs/>
          <w:color w:val="000000" w:themeColor="text1"/>
        </w:rPr>
        <w:t xml:space="preserve">Management of Clients in Specific Situations </w:t>
      </w:r>
      <w:r w:rsidR="34984636" w:rsidRPr="00B74B70">
        <w:rPr>
          <w:color w:val="000000" w:themeColor="text1"/>
        </w:rPr>
        <w:t>below</w:t>
      </w:r>
      <w:r w:rsidR="34984636" w:rsidRPr="1D9AD929">
        <w:rPr>
          <w:i/>
          <w:iCs/>
          <w:color w:val="000000" w:themeColor="text1"/>
        </w:rPr>
        <w:t>.</w:t>
      </w:r>
    </w:p>
    <w:p w14:paraId="083E8355" w14:textId="77777777" w:rsidR="004C586E" w:rsidRPr="00B74B70" w:rsidRDefault="004C586E" w:rsidP="00DD508F">
      <w:pPr>
        <w:pStyle w:val="Heading3"/>
        <w:spacing w:before="0" w:after="120" w:line="240" w:lineRule="auto"/>
        <w:rPr>
          <w:rFonts w:asciiTheme="minorHAnsi" w:hAnsiTheme="minorHAnsi" w:cstheme="minorBidi"/>
        </w:rPr>
      </w:pPr>
      <w:bookmarkStart w:id="16" w:name="_Toc80690921"/>
      <w:bookmarkStart w:id="17" w:name="_Toc80690920"/>
      <w:bookmarkStart w:id="18" w:name="_Toc182989100"/>
      <w:r w:rsidRPr="0294A27B">
        <w:rPr>
          <w:rFonts w:asciiTheme="minorHAnsi" w:hAnsiTheme="minorHAnsi" w:cstheme="minorBidi"/>
        </w:rPr>
        <w:t>Formulation of the PrEP Ring</w:t>
      </w:r>
      <w:bookmarkEnd w:id="16"/>
      <w:bookmarkEnd w:id="18"/>
    </w:p>
    <w:p w14:paraId="56A80E6E" w14:textId="11F7FDBB" w:rsidR="004C586E" w:rsidRPr="00B74B70" w:rsidRDefault="004C586E" w:rsidP="00DD508F">
      <w:pPr>
        <w:spacing w:after="120" w:line="240" w:lineRule="auto"/>
      </w:pPr>
      <w:r w:rsidRPr="0294A27B">
        <w:rPr>
          <w:color w:val="000000" w:themeColor="text1"/>
        </w:rPr>
        <w:t xml:space="preserve">The </w:t>
      </w:r>
      <w:r w:rsidR="00E71749" w:rsidRPr="0294A27B">
        <w:rPr>
          <w:color w:val="000000" w:themeColor="text1"/>
        </w:rPr>
        <w:t>PrEP</w:t>
      </w:r>
      <w:r w:rsidRPr="0294A27B">
        <w:rPr>
          <w:color w:val="000000" w:themeColor="text1"/>
        </w:rPr>
        <w:t xml:space="preserve"> ring is a flexible white silicone ring for vaginal insertion. The ring, which is available in </w:t>
      </w:r>
      <w:r w:rsidR="00BA74DC" w:rsidRPr="0294A27B">
        <w:rPr>
          <w:color w:val="000000" w:themeColor="text1"/>
        </w:rPr>
        <w:t xml:space="preserve">only </w:t>
      </w:r>
      <w:r w:rsidRPr="0294A27B">
        <w:rPr>
          <w:color w:val="000000" w:themeColor="text1"/>
        </w:rPr>
        <w:t>one size, contains approximately 25</w:t>
      </w:r>
      <w:r w:rsidR="003F79F4" w:rsidRPr="0294A27B">
        <w:rPr>
          <w:color w:val="000000" w:themeColor="text1"/>
        </w:rPr>
        <w:t xml:space="preserve"> </w:t>
      </w:r>
      <w:r w:rsidRPr="0294A27B">
        <w:rPr>
          <w:color w:val="000000" w:themeColor="text1"/>
        </w:rPr>
        <w:t>mg of the NNRTI dapivirine</w:t>
      </w:r>
      <w:r w:rsidRPr="0294A27B">
        <w:t>.</w:t>
      </w:r>
    </w:p>
    <w:p w14:paraId="0E9374ED" w14:textId="4FF3CA63" w:rsidR="001C7DF1" w:rsidRPr="00B74B70" w:rsidRDefault="001C7DF1" w:rsidP="00DD508F">
      <w:pPr>
        <w:pStyle w:val="Heading3"/>
        <w:spacing w:before="0" w:after="120" w:line="240" w:lineRule="auto"/>
        <w:rPr>
          <w:rFonts w:asciiTheme="minorHAnsi" w:hAnsiTheme="minorHAnsi" w:cstheme="minorBidi"/>
        </w:rPr>
      </w:pPr>
      <w:bookmarkStart w:id="19" w:name="_Toc182989101"/>
      <w:r w:rsidRPr="0294A27B">
        <w:rPr>
          <w:rFonts w:asciiTheme="minorHAnsi" w:hAnsiTheme="minorHAnsi" w:cstheme="minorBidi"/>
        </w:rPr>
        <w:t>PrEP Ring Effectiveness</w:t>
      </w:r>
      <w:bookmarkEnd w:id="17"/>
      <w:bookmarkEnd w:id="19"/>
    </w:p>
    <w:p w14:paraId="283CD1FE" w14:textId="77777777" w:rsidR="00125BC5" w:rsidRDefault="227DB15A" w:rsidP="00E165BE">
      <w:pPr>
        <w:spacing w:after="0" w:line="240" w:lineRule="auto"/>
      </w:pPr>
      <w:r w:rsidRPr="00B74B70">
        <w:rPr>
          <w:rFonts w:eastAsia="Calibri"/>
          <w:color w:val="000000" w:themeColor="text1"/>
        </w:rPr>
        <w:t xml:space="preserve">The ring was clinically shown to reduce the </w:t>
      </w:r>
      <w:r w:rsidR="238CC3A0" w:rsidRPr="00B74B70">
        <w:rPr>
          <w:rFonts w:eastAsia="Calibri"/>
          <w:color w:val="000000" w:themeColor="text1"/>
        </w:rPr>
        <w:t>likelihood</w:t>
      </w:r>
      <w:r w:rsidRPr="00B74B70">
        <w:rPr>
          <w:rFonts w:eastAsia="Calibri"/>
          <w:color w:val="000000" w:themeColor="text1"/>
        </w:rPr>
        <w:t xml:space="preserve"> of HIV-1 acquisition through vaginal </w:t>
      </w:r>
      <w:r w:rsidR="3607F25C" w:rsidRPr="00B74B70">
        <w:rPr>
          <w:rFonts w:eastAsia="Calibri"/>
          <w:color w:val="000000" w:themeColor="text1"/>
        </w:rPr>
        <w:t>sex</w:t>
      </w:r>
      <w:r w:rsidRPr="00B74B70">
        <w:rPr>
          <w:rFonts w:eastAsia="Calibri"/>
          <w:color w:val="000000" w:themeColor="text1"/>
        </w:rPr>
        <w:t xml:space="preserve"> in two randomized controlled trials: by 35% in IPM-027/The Ring Study and 27% in MTN-020/ASPIRE. The subgroup analysis by age of The Ring Study and ASPIRE data did not show efficacy among women 18</w:t>
      </w:r>
      <w:r w:rsidR="7D5552F3" w:rsidRPr="7D32EE1A">
        <w:rPr>
          <w:rFonts w:eastAsia="Calibri"/>
          <w:color w:val="000000" w:themeColor="text1"/>
        </w:rPr>
        <w:t>–</w:t>
      </w:r>
      <w:r w:rsidRPr="00B74B70">
        <w:rPr>
          <w:rFonts w:eastAsia="Calibri"/>
          <w:color w:val="000000" w:themeColor="text1"/>
        </w:rPr>
        <w:t xml:space="preserve">21 years old, who were also shown to have low adherence to the ring during the trials. </w:t>
      </w:r>
      <w:r w:rsidRPr="00B74B70">
        <w:t>These trials reported no notable difference</w:t>
      </w:r>
      <w:r w:rsidR="39B68E53" w:rsidRPr="00B74B70">
        <w:t>s</w:t>
      </w:r>
      <w:r w:rsidRPr="00B74B70">
        <w:t xml:space="preserve"> </w:t>
      </w:r>
      <w:r w:rsidR="39B68E53" w:rsidRPr="00B74B70">
        <w:t>in</w:t>
      </w:r>
      <w:r w:rsidRPr="00B74B70">
        <w:t xml:space="preserve"> reproductive health outcomes, including STIs and adverse events related to pregnancy, fetal outcomes</w:t>
      </w:r>
      <w:r w:rsidR="00C46FE6">
        <w:t>,</w:t>
      </w:r>
      <w:r w:rsidRPr="00B74B70">
        <w:t xml:space="preserve"> and/or infant outcomes</w:t>
      </w:r>
      <w:r w:rsidR="6E10608A" w:rsidRPr="00B74B70">
        <w:t>,</w:t>
      </w:r>
      <w:r w:rsidR="39B68E53" w:rsidRPr="00B74B70">
        <w:t xml:space="preserve"> between the treatment and placebo arms</w:t>
      </w:r>
      <w:r w:rsidRPr="00B74B70">
        <w:t xml:space="preserve">. </w:t>
      </w:r>
    </w:p>
    <w:p w14:paraId="6674FA9A" w14:textId="77777777" w:rsidR="00125BC5" w:rsidRDefault="00125BC5" w:rsidP="00E165BE">
      <w:pPr>
        <w:spacing w:after="0" w:line="240" w:lineRule="auto"/>
      </w:pPr>
    </w:p>
    <w:p w14:paraId="353541F9" w14:textId="3EAFD124" w:rsidR="001C7DF1" w:rsidRDefault="00E33773" w:rsidP="00E165BE">
      <w:pPr>
        <w:spacing w:after="0" w:line="240" w:lineRule="auto"/>
      </w:pPr>
      <w:r>
        <w:t>T</w:t>
      </w:r>
      <w:r w:rsidR="227DB15A">
        <w:t xml:space="preserve">wo subsequent open-label extension studies </w:t>
      </w:r>
      <w:proofErr w:type="gramStart"/>
      <w:r w:rsidR="45205F50" w:rsidRPr="7D32EE1A">
        <w:rPr>
          <w:rFonts w:eastAsia="Calibri"/>
          <w:color w:val="000000" w:themeColor="text1"/>
        </w:rPr>
        <w:t>—</w:t>
      </w:r>
      <w:r w:rsidR="227DB15A" w:rsidRPr="00B74B70">
        <w:rPr>
          <w:rFonts w:eastAsia="Calibri"/>
          <w:color w:val="000000" w:themeColor="text1"/>
        </w:rPr>
        <w:t xml:space="preserve"> </w:t>
      </w:r>
      <w:r w:rsidR="528BDCE2" w:rsidRPr="007F47FD">
        <w:t xml:space="preserve"> </w:t>
      </w:r>
      <w:r w:rsidR="227DB15A" w:rsidRPr="007F47FD">
        <w:t>DREAM</w:t>
      </w:r>
      <w:proofErr w:type="gramEnd"/>
      <w:r w:rsidR="227DB15A" w:rsidRPr="007F47FD">
        <w:t xml:space="preserve"> and HOPE </w:t>
      </w:r>
      <w:r w:rsidR="45205F50" w:rsidRPr="7D32EE1A">
        <w:rPr>
          <w:rFonts w:eastAsia="Calibri"/>
          <w:color w:val="000000" w:themeColor="text1"/>
        </w:rPr>
        <w:t>—</w:t>
      </w:r>
      <w:r>
        <w:rPr>
          <w:rFonts w:eastAsia="Calibri"/>
          <w:color w:val="000000" w:themeColor="text1"/>
        </w:rPr>
        <w:t xml:space="preserve"> foun</w:t>
      </w:r>
      <w:r w:rsidR="528BDCE2" w:rsidRPr="007F47FD">
        <w:t xml:space="preserve">d increased ring adherence compared to </w:t>
      </w:r>
      <w:r w:rsidR="00596FF8">
        <w:t xml:space="preserve">adherence in </w:t>
      </w:r>
      <w:r w:rsidR="528BDCE2" w:rsidRPr="007F47FD">
        <w:t>the clinical trials</w:t>
      </w:r>
      <w:r w:rsidR="00591500">
        <w:t>. In DREAM</w:t>
      </w:r>
      <w:r w:rsidR="528BDCE2" w:rsidRPr="007F47FD">
        <w:t>, 95% of returned ring</w:t>
      </w:r>
      <w:r w:rsidR="000C5B33">
        <w:t>s</w:t>
      </w:r>
      <w:r w:rsidR="528BDCE2" w:rsidRPr="007F47FD">
        <w:t xml:space="preserve"> show</w:t>
      </w:r>
      <w:r w:rsidR="00591500">
        <w:t>ed</w:t>
      </w:r>
      <w:r w:rsidR="528BDCE2" w:rsidRPr="007F47FD">
        <w:t xml:space="preserve"> </w:t>
      </w:r>
      <w:r w:rsidR="000C5B33">
        <w:t>some</w:t>
      </w:r>
      <w:r w:rsidR="528BDCE2" w:rsidRPr="007F47FD">
        <w:t xml:space="preserve"> use compared to 83% in The Ring Study</w:t>
      </w:r>
      <w:r w:rsidR="000C5B33">
        <w:t>,</w:t>
      </w:r>
      <w:r w:rsidR="528BDCE2" w:rsidRPr="007F47FD">
        <w:t xml:space="preserve"> while in HOPE, 90% of returned rings showed use compared to 77% in ASPIR</w:t>
      </w:r>
      <w:r w:rsidR="528BDCE2" w:rsidRPr="00B74B70">
        <w:t>E</w:t>
      </w:r>
      <w:r w:rsidR="5330EABE" w:rsidRPr="007F47FD">
        <w:t>.</w:t>
      </w:r>
      <w:r w:rsidR="00791DD1" w:rsidRPr="007F47FD">
        <w:rPr>
          <w:rStyle w:val="FootnoteReference"/>
        </w:rPr>
        <w:footnoteReference w:id="22"/>
      </w:r>
      <w:r w:rsidR="528BDCE2" w:rsidRPr="007F47FD">
        <w:t xml:space="preserve"> </w:t>
      </w:r>
      <w:r w:rsidR="002B581F">
        <w:t>Multiple efficacy</w:t>
      </w:r>
      <w:r w:rsidR="00D37D95">
        <w:t xml:space="preserve"> analyses among participants who used the ring consistently </w:t>
      </w:r>
      <w:r w:rsidR="007E5D46">
        <w:t xml:space="preserve">suggest </w:t>
      </w:r>
      <w:r w:rsidR="00106B98">
        <w:t xml:space="preserve">that the </w:t>
      </w:r>
      <w:r w:rsidR="001D535E">
        <w:t xml:space="preserve">PrEP ring can reduce the likelihood of HIV acquisition </w:t>
      </w:r>
      <w:r w:rsidR="00084D98">
        <w:t xml:space="preserve">during receptive vaginal intercourse </w:t>
      </w:r>
      <w:r w:rsidR="001D535E">
        <w:t>by</w:t>
      </w:r>
      <w:r w:rsidR="00F41ABF">
        <w:t xml:space="preserve"> at least</w:t>
      </w:r>
      <w:r w:rsidR="001D535E">
        <w:t xml:space="preserve"> 50% or more with consistent use throughout the month.</w:t>
      </w:r>
      <w:r w:rsidR="002B581F">
        <w:rPr>
          <w:rStyle w:val="FootnoteReference"/>
        </w:rPr>
        <w:footnoteReference w:id="23"/>
      </w:r>
      <w:r w:rsidR="00635478" w:rsidRPr="009D3996">
        <w:rPr>
          <w:vertAlign w:val="superscript"/>
        </w:rPr>
        <w:t>,</w:t>
      </w:r>
      <w:r w:rsidR="0028145C">
        <w:rPr>
          <w:rStyle w:val="FootnoteReference"/>
        </w:rPr>
        <w:footnoteReference w:id="24"/>
      </w:r>
      <w:r w:rsidR="001D535E">
        <w:t xml:space="preserve"> </w:t>
      </w:r>
      <w:r w:rsidR="227DB15A" w:rsidRPr="007F47FD">
        <w:t xml:space="preserve">Further studies </w:t>
      </w:r>
      <w:r w:rsidR="198D9E0F" w:rsidRPr="007F47FD">
        <w:t>exploring</w:t>
      </w:r>
      <w:r w:rsidR="227DB15A" w:rsidRPr="007F47FD">
        <w:t xml:space="preserve"> </w:t>
      </w:r>
      <w:r w:rsidR="478ACBAE" w:rsidRPr="007F47FD">
        <w:t xml:space="preserve">the </w:t>
      </w:r>
      <w:r w:rsidR="227DB15A" w:rsidRPr="007F47FD">
        <w:t>safety and acceptability</w:t>
      </w:r>
      <w:r w:rsidR="198D9E0F" w:rsidRPr="007F47FD">
        <w:t xml:space="preserve"> of the ring among</w:t>
      </w:r>
      <w:r w:rsidR="7AC6DC3C" w:rsidRPr="007F47FD">
        <w:t xml:space="preserve"> adolescents and young people</w:t>
      </w:r>
      <w:r w:rsidR="198D9E0F" w:rsidRPr="007F47FD">
        <w:t xml:space="preserve"> </w:t>
      </w:r>
      <w:r w:rsidR="67E0F1AF" w:rsidRPr="007F47FD">
        <w:t>AFAB</w:t>
      </w:r>
      <w:r w:rsidR="539C9B60" w:rsidRPr="007F47FD">
        <w:t xml:space="preserve"> age</w:t>
      </w:r>
      <w:r w:rsidR="56E9F04E" w:rsidRPr="007F47FD">
        <w:t>s</w:t>
      </w:r>
      <w:r w:rsidR="539C9B60" w:rsidRPr="007F47FD">
        <w:t xml:space="preserve"> 15</w:t>
      </w:r>
      <w:r w:rsidR="56E9F04E" w:rsidRPr="7D32EE1A">
        <w:t>–</w:t>
      </w:r>
      <w:r w:rsidR="539C9B60" w:rsidRPr="007F47FD">
        <w:t>21</w:t>
      </w:r>
      <w:r w:rsidR="59160336" w:rsidRPr="007F47FD">
        <w:t xml:space="preserve"> have demonstrated that the ring is acceptable</w:t>
      </w:r>
      <w:r w:rsidR="0BCE1A82" w:rsidRPr="007F47FD">
        <w:t xml:space="preserve"> to younger </w:t>
      </w:r>
      <w:r w:rsidR="0041315F">
        <w:t>individuals</w:t>
      </w:r>
      <w:r w:rsidR="0BCE1A82" w:rsidRPr="007F47FD">
        <w:t>, has a simi</w:t>
      </w:r>
      <w:r w:rsidR="3CE8A75E" w:rsidRPr="007F47FD">
        <w:t>lar</w:t>
      </w:r>
      <w:r w:rsidR="3CE8A75E" w:rsidRPr="00606B35">
        <w:t xml:space="preserve"> favorable safety profile among </w:t>
      </w:r>
      <w:r w:rsidR="3CE8A75E" w:rsidRPr="00B07919">
        <w:t xml:space="preserve">younger and older </w:t>
      </w:r>
      <w:r w:rsidR="0041315F" w:rsidRPr="00B07919">
        <w:t>individuals</w:t>
      </w:r>
      <w:r w:rsidR="3CE8A75E" w:rsidRPr="00B07919">
        <w:t xml:space="preserve">, and </w:t>
      </w:r>
      <w:r w:rsidR="4B198384" w:rsidRPr="00B07919">
        <w:t>can be u</w:t>
      </w:r>
      <w:r w:rsidR="7162C507" w:rsidRPr="00B07919">
        <w:t xml:space="preserve">sed effectively by </w:t>
      </w:r>
      <w:r w:rsidR="3CE8A75E" w:rsidRPr="00B07919">
        <w:t xml:space="preserve">younger </w:t>
      </w:r>
      <w:r w:rsidR="0041315F" w:rsidRPr="00B07919">
        <w:t xml:space="preserve">individuals </w:t>
      </w:r>
      <w:r w:rsidR="3CE8A75E" w:rsidRPr="00B07919">
        <w:t>with proper adherence support</w:t>
      </w:r>
      <w:r w:rsidR="372B423A" w:rsidRPr="00B07919">
        <w:t>.</w:t>
      </w:r>
      <w:r w:rsidR="007F085B" w:rsidRPr="00B07919">
        <w:rPr>
          <w:rStyle w:val="FootnoteReference"/>
        </w:rPr>
        <w:footnoteReference w:id="25"/>
      </w:r>
      <w:r w:rsidR="00CE65EF" w:rsidRPr="00B07919">
        <w:rPr>
          <w:vertAlign w:val="superscript"/>
        </w:rPr>
        <w:t>,</w:t>
      </w:r>
      <w:r w:rsidR="00CE65EF" w:rsidRPr="00B07919">
        <w:rPr>
          <w:rStyle w:val="FootnoteReference"/>
        </w:rPr>
        <w:footnoteReference w:id="26"/>
      </w:r>
      <w:r w:rsidR="6EDF974B" w:rsidRPr="00606B35">
        <w:t xml:space="preserve"> </w:t>
      </w:r>
    </w:p>
    <w:p w14:paraId="0AF250FF" w14:textId="77777777" w:rsidR="0068452F" w:rsidRPr="00AD48D6" w:rsidRDefault="0068452F" w:rsidP="00AD48D6">
      <w:pPr>
        <w:spacing w:after="0" w:line="276" w:lineRule="auto"/>
        <w:rPr>
          <w:color w:val="4472C4" w:themeColor="accent1"/>
        </w:rPr>
      </w:pPr>
    </w:p>
    <w:p w14:paraId="298C5E14" w14:textId="6632D6D5" w:rsidR="004C586E" w:rsidRPr="00606B35" w:rsidRDefault="001F6779" w:rsidP="00DD508F">
      <w:pPr>
        <w:pStyle w:val="Heading3"/>
        <w:spacing w:before="0" w:after="120" w:line="240" w:lineRule="auto"/>
        <w:rPr>
          <w:rFonts w:asciiTheme="minorHAnsi" w:hAnsiTheme="minorHAnsi" w:cstheme="minorBidi"/>
        </w:rPr>
      </w:pPr>
      <w:bookmarkStart w:id="20" w:name="_Toc80690928"/>
      <w:bookmarkStart w:id="21" w:name="_Toc182989102"/>
      <w:r>
        <w:rPr>
          <w:rFonts w:asciiTheme="minorHAnsi" w:hAnsiTheme="minorHAnsi" w:cstheme="minorBidi"/>
        </w:rPr>
        <w:t>Potential</w:t>
      </w:r>
      <w:r w:rsidRPr="00606B35" w:rsidDel="000D6885">
        <w:rPr>
          <w:rFonts w:asciiTheme="minorHAnsi" w:hAnsiTheme="minorHAnsi" w:cstheme="minorBidi"/>
        </w:rPr>
        <w:t xml:space="preserve"> </w:t>
      </w:r>
      <w:r w:rsidR="004C586E" w:rsidRPr="00606B35" w:rsidDel="000D6885">
        <w:rPr>
          <w:rFonts w:asciiTheme="minorHAnsi" w:hAnsiTheme="minorHAnsi" w:cstheme="minorBidi"/>
        </w:rPr>
        <w:t xml:space="preserve">Side Effects of the </w:t>
      </w:r>
      <w:r w:rsidR="004C586E" w:rsidRPr="00606B35">
        <w:rPr>
          <w:rFonts w:asciiTheme="minorHAnsi" w:hAnsiTheme="minorHAnsi" w:cstheme="minorBidi"/>
        </w:rPr>
        <w:t xml:space="preserve">PrEP </w:t>
      </w:r>
      <w:r w:rsidR="004C586E" w:rsidRPr="00606B35" w:rsidDel="000D6885">
        <w:rPr>
          <w:rFonts w:asciiTheme="minorHAnsi" w:hAnsiTheme="minorHAnsi" w:cstheme="minorBidi"/>
        </w:rPr>
        <w:t>Ring</w:t>
      </w:r>
      <w:bookmarkEnd w:id="21"/>
    </w:p>
    <w:p w14:paraId="71169B09" w14:textId="77777777" w:rsidR="008D30C9" w:rsidRDefault="0067241C" w:rsidP="00DD508F">
      <w:pPr>
        <w:spacing w:after="120" w:line="240" w:lineRule="auto"/>
        <w:rPr>
          <w:rFonts w:cstheme="minorHAnsi"/>
          <w:bCs/>
        </w:rPr>
      </w:pPr>
      <w:r w:rsidRPr="00606B35">
        <w:rPr>
          <w:rFonts w:cstheme="minorHAnsi"/>
          <w:bCs/>
        </w:rPr>
        <w:t>Possible s</w:t>
      </w:r>
      <w:r w:rsidR="00C303E2" w:rsidRPr="00606B35">
        <w:rPr>
          <w:rFonts w:cstheme="minorHAnsi"/>
          <w:bCs/>
        </w:rPr>
        <w:t>ide effects</w:t>
      </w:r>
      <w:r w:rsidR="004C586E" w:rsidRPr="00606B35" w:rsidDel="002B473C">
        <w:rPr>
          <w:rFonts w:cstheme="minorHAnsi"/>
          <w:bCs/>
        </w:rPr>
        <w:t xml:space="preserve"> </w:t>
      </w:r>
      <w:r w:rsidR="00A90AA6" w:rsidRPr="00606B35">
        <w:rPr>
          <w:rFonts w:cstheme="minorHAnsi"/>
          <w:bCs/>
        </w:rPr>
        <w:t xml:space="preserve">of the ring </w:t>
      </w:r>
      <w:r w:rsidR="004C586E" w:rsidRPr="00606B35" w:rsidDel="002B473C">
        <w:rPr>
          <w:rFonts w:cstheme="minorHAnsi"/>
          <w:bCs/>
        </w:rPr>
        <w:t>are typically mild and include</w:t>
      </w:r>
      <w:r w:rsidR="008D30C9">
        <w:rPr>
          <w:rFonts w:cstheme="minorHAnsi"/>
          <w:bCs/>
        </w:rPr>
        <w:t>:</w:t>
      </w:r>
    </w:p>
    <w:p w14:paraId="67047505" w14:textId="3671D25B" w:rsidR="008D30C9" w:rsidRDefault="008D30C9" w:rsidP="008D30C9">
      <w:pPr>
        <w:pStyle w:val="ListParagraph"/>
        <w:numPr>
          <w:ilvl w:val="0"/>
          <w:numId w:val="29"/>
        </w:numPr>
        <w:spacing w:after="120" w:line="240" w:lineRule="auto"/>
        <w:rPr>
          <w:rFonts w:cstheme="minorHAnsi"/>
          <w:bCs/>
        </w:rPr>
      </w:pPr>
      <w:r>
        <w:rPr>
          <w:rFonts w:cstheme="minorHAnsi"/>
          <w:bCs/>
        </w:rPr>
        <w:t>U</w:t>
      </w:r>
      <w:r w:rsidR="004C586E" w:rsidRPr="008D30C9" w:rsidDel="002B473C">
        <w:rPr>
          <w:rFonts w:cstheme="minorHAnsi"/>
          <w:bCs/>
        </w:rPr>
        <w:t xml:space="preserve">rinary tract infections </w:t>
      </w:r>
      <w:r w:rsidR="00D1341B">
        <w:rPr>
          <w:rFonts w:cstheme="minorHAnsi"/>
          <w:bCs/>
        </w:rPr>
        <w:t>(UTIs)</w:t>
      </w:r>
    </w:p>
    <w:p w14:paraId="63F8F7DE" w14:textId="300FBEED" w:rsidR="008D30C9" w:rsidRDefault="008D30C9" w:rsidP="008D30C9">
      <w:pPr>
        <w:pStyle w:val="ListParagraph"/>
        <w:numPr>
          <w:ilvl w:val="0"/>
          <w:numId w:val="29"/>
        </w:numPr>
        <w:spacing w:after="120" w:line="240" w:lineRule="auto"/>
        <w:rPr>
          <w:rFonts w:cstheme="minorHAnsi"/>
          <w:bCs/>
        </w:rPr>
      </w:pPr>
      <w:r>
        <w:rPr>
          <w:rFonts w:cstheme="minorHAnsi"/>
          <w:bCs/>
        </w:rPr>
        <w:t>V</w:t>
      </w:r>
      <w:r w:rsidR="004C586E" w:rsidRPr="008D30C9" w:rsidDel="002B473C">
        <w:rPr>
          <w:rFonts w:cstheme="minorHAnsi"/>
          <w:bCs/>
        </w:rPr>
        <w:t>aginal discharge</w:t>
      </w:r>
      <w:r w:rsidR="00A90AA6" w:rsidRPr="008D30C9">
        <w:rPr>
          <w:rFonts w:cstheme="minorHAnsi"/>
          <w:bCs/>
        </w:rPr>
        <w:t xml:space="preserve"> </w:t>
      </w:r>
    </w:p>
    <w:p w14:paraId="402B9B93" w14:textId="5E9726DC" w:rsidR="00101C99" w:rsidRDefault="00101C99" w:rsidP="008D30C9">
      <w:pPr>
        <w:pStyle w:val="ListParagraph"/>
        <w:numPr>
          <w:ilvl w:val="0"/>
          <w:numId w:val="29"/>
        </w:numPr>
        <w:spacing w:after="120" w:line="240" w:lineRule="auto"/>
        <w:rPr>
          <w:rFonts w:cstheme="minorHAnsi"/>
          <w:bCs/>
        </w:rPr>
      </w:pPr>
      <w:r>
        <w:rPr>
          <w:rFonts w:cstheme="minorHAnsi"/>
          <w:bCs/>
        </w:rPr>
        <w:t>Inflammation of the vagina, vulva</w:t>
      </w:r>
      <w:r w:rsidR="00E96A22">
        <w:rPr>
          <w:rFonts w:cstheme="minorHAnsi"/>
          <w:bCs/>
        </w:rPr>
        <w:t>,</w:t>
      </w:r>
      <w:r>
        <w:rPr>
          <w:rFonts w:cstheme="minorHAnsi"/>
          <w:bCs/>
        </w:rPr>
        <w:t xml:space="preserve"> or cervix</w:t>
      </w:r>
    </w:p>
    <w:p w14:paraId="2C618916" w14:textId="4AD680FF" w:rsidR="008D30C9" w:rsidRDefault="008D30C9" w:rsidP="008D30C9">
      <w:pPr>
        <w:pStyle w:val="ListParagraph"/>
        <w:numPr>
          <w:ilvl w:val="0"/>
          <w:numId w:val="29"/>
        </w:numPr>
        <w:spacing w:after="120" w:line="240" w:lineRule="auto"/>
        <w:rPr>
          <w:rFonts w:cstheme="minorHAnsi"/>
          <w:bCs/>
        </w:rPr>
      </w:pPr>
      <w:r>
        <w:rPr>
          <w:rFonts w:cstheme="minorHAnsi"/>
          <w:bCs/>
        </w:rPr>
        <w:t>V</w:t>
      </w:r>
      <w:r w:rsidR="009642DD">
        <w:rPr>
          <w:rFonts w:cstheme="minorHAnsi"/>
          <w:bCs/>
        </w:rPr>
        <w:t>aginal or v</w:t>
      </w:r>
      <w:r w:rsidR="004C586E" w:rsidRPr="008D30C9" w:rsidDel="002B473C">
        <w:rPr>
          <w:rFonts w:cstheme="minorHAnsi"/>
          <w:bCs/>
        </w:rPr>
        <w:t>ulvar itching</w:t>
      </w:r>
      <w:r w:rsidR="00A90AA6" w:rsidRPr="008D30C9">
        <w:rPr>
          <w:rFonts w:cstheme="minorHAnsi"/>
          <w:bCs/>
        </w:rPr>
        <w:t xml:space="preserve"> </w:t>
      </w:r>
    </w:p>
    <w:p w14:paraId="4D39B75C" w14:textId="764A1474" w:rsidR="004C586E" w:rsidRPr="001F6779" w:rsidRDefault="008D30C9" w:rsidP="62174829">
      <w:pPr>
        <w:pStyle w:val="ListParagraph"/>
        <w:numPr>
          <w:ilvl w:val="0"/>
          <w:numId w:val="29"/>
        </w:numPr>
        <w:spacing w:after="120" w:line="240" w:lineRule="auto"/>
      </w:pPr>
      <w:r w:rsidRPr="62174829">
        <w:lastRenderedPageBreak/>
        <w:t>P</w:t>
      </w:r>
      <w:r w:rsidR="004C586E" w:rsidRPr="62174829" w:rsidDel="002B473C">
        <w:t>elvic and lower abdominal pain</w:t>
      </w:r>
      <w:r w:rsidR="00A90AA6" w:rsidRPr="62174829">
        <w:t xml:space="preserve"> </w:t>
      </w:r>
    </w:p>
    <w:p w14:paraId="0901EAE1" w14:textId="68B2122C" w:rsidR="004C586E" w:rsidRPr="001F6779" w:rsidRDefault="7FE25672" w:rsidP="008F2386">
      <w:pPr>
        <w:spacing w:after="120" w:line="240" w:lineRule="auto"/>
        <w:ind w:left="45"/>
      </w:pPr>
      <w:r>
        <w:t>Clients using the ring</w:t>
      </w:r>
      <w:r w:rsidR="6E17E6DA">
        <w:t xml:space="preserve"> should be counseled</w:t>
      </w:r>
      <w:r w:rsidR="3F3520BF">
        <w:t xml:space="preserve"> on possible side effects and</w:t>
      </w:r>
      <w:r w:rsidR="6E17E6DA">
        <w:t xml:space="preserve"> </w:t>
      </w:r>
      <w:r w:rsidR="009628CB">
        <w:t>that they are uncommon</w:t>
      </w:r>
      <w:r w:rsidR="0093051B">
        <w:t xml:space="preserve">. They should also be </w:t>
      </w:r>
      <w:r w:rsidR="0052116B">
        <w:t xml:space="preserve">advised </w:t>
      </w:r>
      <w:r w:rsidR="6E17E6DA">
        <w:t xml:space="preserve">to contact their health care provider if they experience any urinary or reproductive tract changes, </w:t>
      </w:r>
      <w:r w:rsidR="3D29F5B2">
        <w:t>bec</w:t>
      </w:r>
      <w:r w:rsidR="6E17E6DA">
        <w:t>a</w:t>
      </w:r>
      <w:r w:rsidR="3D29F5B2">
        <w:t>use</w:t>
      </w:r>
      <w:r w:rsidR="6E17E6DA">
        <w:t xml:space="preserve"> these could be a sign of an STI or UTI needing treatment. </w:t>
      </w:r>
    </w:p>
    <w:p w14:paraId="286AD866" w14:textId="38783B36" w:rsidR="001F6779" w:rsidRPr="004A7A99" w:rsidRDefault="001F6779" w:rsidP="004A7A99">
      <w:pPr>
        <w:rPr>
          <w:rFonts w:cstheme="minorHAnsi"/>
          <w:bdr w:val="none" w:sz="0" w:space="0" w:color="auto" w:frame="1"/>
        </w:rPr>
      </w:pPr>
      <w:r w:rsidRPr="003F36EE">
        <w:rPr>
          <w:rFonts w:cstheme="minorHAnsi"/>
          <w:bdr w:val="none" w:sz="0" w:space="0" w:color="auto" w:frame="1"/>
        </w:rPr>
        <w:t xml:space="preserve">For </w:t>
      </w:r>
      <w:r>
        <w:rPr>
          <w:rFonts w:cstheme="minorHAnsi"/>
          <w:bdr w:val="none" w:sz="0" w:space="0" w:color="auto" w:frame="1"/>
        </w:rPr>
        <w:t xml:space="preserve">information on less common side effects, review the product label. </w:t>
      </w:r>
    </w:p>
    <w:p w14:paraId="7C88A577" w14:textId="7BEB0004" w:rsidR="00AC70BA" w:rsidRPr="00606B35" w:rsidRDefault="66F5EF08" w:rsidP="56D00486">
      <w:pPr>
        <w:pStyle w:val="Heading3"/>
        <w:spacing w:before="0" w:after="120" w:line="240" w:lineRule="auto"/>
        <w:rPr>
          <w:rFonts w:asciiTheme="minorHAnsi" w:hAnsiTheme="minorHAnsi" w:cstheme="minorBidi"/>
        </w:rPr>
      </w:pPr>
      <w:bookmarkStart w:id="22" w:name="_Toc182989103"/>
      <w:r w:rsidRPr="56D00486">
        <w:rPr>
          <w:rFonts w:asciiTheme="minorHAnsi" w:hAnsiTheme="minorHAnsi" w:cstheme="minorBidi"/>
        </w:rPr>
        <w:t>PrEP Ring and Other Drug Interactions</w:t>
      </w:r>
      <w:bookmarkEnd w:id="20"/>
      <w:bookmarkEnd w:id="22"/>
    </w:p>
    <w:p w14:paraId="47E24723" w14:textId="088117EC" w:rsidR="00B04F62" w:rsidRDefault="00AC70BA" w:rsidP="00DD508F">
      <w:pPr>
        <w:spacing w:after="120" w:line="240" w:lineRule="auto"/>
        <w:rPr>
          <w:rFonts w:cstheme="minorHAnsi"/>
          <w:color w:val="000000"/>
        </w:rPr>
      </w:pPr>
      <w:r>
        <w:rPr>
          <w:rFonts w:cstheme="minorHAnsi"/>
          <w:color w:val="000000"/>
        </w:rPr>
        <w:t xml:space="preserve">There </w:t>
      </w:r>
      <w:r w:rsidR="001876C3">
        <w:rPr>
          <w:rFonts w:cstheme="minorHAnsi"/>
          <w:color w:val="000000"/>
        </w:rPr>
        <w:t>are</w:t>
      </w:r>
      <w:r w:rsidR="000C27D1">
        <w:rPr>
          <w:rFonts w:cstheme="minorHAnsi"/>
          <w:color w:val="000000"/>
        </w:rPr>
        <w:t xml:space="preserve"> currently no data on </w:t>
      </w:r>
      <w:r w:rsidR="00881FEA">
        <w:rPr>
          <w:rFonts w:cstheme="minorHAnsi"/>
          <w:color w:val="000000"/>
        </w:rPr>
        <w:t>concurrent use of</w:t>
      </w:r>
      <w:r w:rsidR="000C27D1">
        <w:rPr>
          <w:rFonts w:cstheme="minorHAnsi"/>
          <w:color w:val="000000"/>
        </w:rPr>
        <w:t xml:space="preserve"> vaginally administered antimicrobial products for vulvovaginal infections </w:t>
      </w:r>
      <w:r w:rsidR="00881FEA">
        <w:rPr>
          <w:rFonts w:cstheme="minorHAnsi"/>
          <w:color w:val="000000"/>
        </w:rPr>
        <w:t xml:space="preserve">and the </w:t>
      </w:r>
      <w:r w:rsidR="00E378DB">
        <w:rPr>
          <w:rFonts w:cstheme="minorHAnsi"/>
          <w:color w:val="000000"/>
        </w:rPr>
        <w:t xml:space="preserve">PrEP </w:t>
      </w:r>
      <w:r w:rsidR="00881FEA">
        <w:rPr>
          <w:rFonts w:cstheme="minorHAnsi"/>
          <w:color w:val="000000"/>
        </w:rPr>
        <w:t>ring</w:t>
      </w:r>
      <w:r w:rsidR="004654A0">
        <w:rPr>
          <w:rFonts w:cstheme="minorHAnsi"/>
          <w:color w:val="000000"/>
        </w:rPr>
        <w:t xml:space="preserve">; therefore, </w:t>
      </w:r>
      <w:r w:rsidR="00881FEA">
        <w:rPr>
          <w:rFonts w:cstheme="minorHAnsi"/>
          <w:color w:val="000000"/>
        </w:rPr>
        <w:t xml:space="preserve">concomitant use is not recommended. </w:t>
      </w:r>
    </w:p>
    <w:p w14:paraId="5766E620" w14:textId="4B6F324D" w:rsidR="009558B7" w:rsidRDefault="001A449C" w:rsidP="00DD508F">
      <w:pPr>
        <w:spacing w:after="120" w:line="240" w:lineRule="auto"/>
        <w:rPr>
          <w:rFonts w:cstheme="minorHAnsi"/>
          <w:color w:val="000000"/>
        </w:rPr>
      </w:pPr>
      <w:r>
        <w:rPr>
          <w:rFonts w:cstheme="minorHAnsi"/>
          <w:color w:val="000000"/>
        </w:rPr>
        <w:t xml:space="preserve">Evaluations of co-administered use of miconazole and the ring </w:t>
      </w:r>
      <w:r w:rsidR="000A79BC">
        <w:rPr>
          <w:rFonts w:cstheme="minorHAnsi"/>
          <w:color w:val="000000"/>
        </w:rPr>
        <w:t>h</w:t>
      </w:r>
      <w:r w:rsidR="008562A2">
        <w:rPr>
          <w:rFonts w:cstheme="minorHAnsi"/>
          <w:color w:val="000000"/>
        </w:rPr>
        <w:t>a</w:t>
      </w:r>
      <w:r w:rsidR="000A79BC">
        <w:rPr>
          <w:rFonts w:cstheme="minorHAnsi"/>
          <w:color w:val="000000"/>
        </w:rPr>
        <w:t>v</w:t>
      </w:r>
      <w:r w:rsidR="008562A2">
        <w:rPr>
          <w:rFonts w:cstheme="minorHAnsi"/>
          <w:color w:val="000000"/>
        </w:rPr>
        <w:t xml:space="preserve">e not </w:t>
      </w:r>
      <w:r w:rsidR="000A79BC">
        <w:rPr>
          <w:rFonts w:cstheme="minorHAnsi"/>
          <w:color w:val="000000"/>
        </w:rPr>
        <w:t xml:space="preserve">been </w:t>
      </w:r>
      <w:r w:rsidR="008562A2">
        <w:rPr>
          <w:rFonts w:cstheme="minorHAnsi"/>
          <w:color w:val="000000"/>
        </w:rPr>
        <w:t xml:space="preserve">fully </w:t>
      </w:r>
      <w:r w:rsidR="005F5C87">
        <w:rPr>
          <w:rFonts w:cstheme="minorHAnsi"/>
          <w:color w:val="000000"/>
        </w:rPr>
        <w:t>resolved</w:t>
      </w:r>
      <w:r w:rsidR="00B269D1">
        <w:rPr>
          <w:rFonts w:cstheme="minorHAnsi"/>
          <w:color w:val="000000"/>
        </w:rPr>
        <w:t>,</w:t>
      </w:r>
      <w:r w:rsidR="005F5C87">
        <w:rPr>
          <w:rFonts w:cstheme="minorHAnsi"/>
          <w:color w:val="000000"/>
        </w:rPr>
        <w:t xml:space="preserve"> and clients should be advised to use additional preventative measure for HIV when </w:t>
      </w:r>
      <w:r w:rsidR="00731061">
        <w:rPr>
          <w:rFonts w:cstheme="minorHAnsi"/>
          <w:color w:val="000000"/>
        </w:rPr>
        <w:t xml:space="preserve">co-treated with vaginal miconazole. </w:t>
      </w:r>
    </w:p>
    <w:p w14:paraId="05758EC2" w14:textId="3C3446F0" w:rsidR="00900FBD" w:rsidRDefault="00900FBD" w:rsidP="00DD508F">
      <w:pPr>
        <w:spacing w:after="120" w:line="240" w:lineRule="auto"/>
        <w:rPr>
          <w:color w:val="000000"/>
        </w:rPr>
      </w:pPr>
      <w:r w:rsidRPr="772E2DA6">
        <w:rPr>
          <w:color w:val="000000" w:themeColor="text1"/>
        </w:rPr>
        <w:t>Co-administ</w:t>
      </w:r>
      <w:r w:rsidR="00B7191F">
        <w:rPr>
          <w:color w:val="000000" w:themeColor="text1"/>
        </w:rPr>
        <w:t xml:space="preserve">ration of </w:t>
      </w:r>
      <w:r w:rsidRPr="772E2DA6">
        <w:rPr>
          <w:color w:val="000000" w:themeColor="text1"/>
        </w:rPr>
        <w:t>clotrimazole</w:t>
      </w:r>
      <w:r w:rsidR="00E4331B" w:rsidRPr="772E2DA6">
        <w:rPr>
          <w:color w:val="000000" w:themeColor="text1"/>
        </w:rPr>
        <w:t xml:space="preserve"> </w:t>
      </w:r>
      <w:r w:rsidR="00097782" w:rsidRPr="772E2DA6">
        <w:rPr>
          <w:color w:val="000000" w:themeColor="text1"/>
        </w:rPr>
        <w:t xml:space="preserve">as a water-based vaginal cream with the ring </w:t>
      </w:r>
      <w:r w:rsidR="00A51B5B" w:rsidRPr="772E2DA6">
        <w:rPr>
          <w:color w:val="000000" w:themeColor="text1"/>
        </w:rPr>
        <w:t>w</w:t>
      </w:r>
      <w:r w:rsidR="00073B56">
        <w:rPr>
          <w:color w:val="000000" w:themeColor="text1"/>
        </w:rPr>
        <w:t>as</w:t>
      </w:r>
      <w:r w:rsidR="00A51B5B" w:rsidRPr="772E2DA6">
        <w:rPr>
          <w:color w:val="000000" w:themeColor="text1"/>
        </w:rPr>
        <w:t xml:space="preserve"> well-tolerated</w:t>
      </w:r>
      <w:r w:rsidR="009979CE">
        <w:rPr>
          <w:color w:val="000000" w:themeColor="text1"/>
        </w:rPr>
        <w:t>;</w:t>
      </w:r>
      <w:r w:rsidR="00A51B5B" w:rsidRPr="772E2DA6">
        <w:rPr>
          <w:color w:val="000000" w:themeColor="text1"/>
        </w:rPr>
        <w:t xml:space="preserve"> </w:t>
      </w:r>
      <w:r w:rsidR="006944F6">
        <w:rPr>
          <w:color w:val="000000" w:themeColor="text1"/>
        </w:rPr>
        <w:t>however,</w:t>
      </w:r>
      <w:r w:rsidR="00A51B5B" w:rsidRPr="772E2DA6">
        <w:rPr>
          <w:color w:val="000000" w:themeColor="text1"/>
        </w:rPr>
        <w:t xml:space="preserve"> given </w:t>
      </w:r>
      <w:r w:rsidR="00212917" w:rsidRPr="772E2DA6">
        <w:rPr>
          <w:color w:val="000000" w:themeColor="text1"/>
        </w:rPr>
        <w:t xml:space="preserve">methodological issues that </w:t>
      </w:r>
      <w:r w:rsidR="008455F3" w:rsidRPr="772E2DA6">
        <w:rPr>
          <w:color w:val="000000" w:themeColor="text1"/>
        </w:rPr>
        <w:t>limit</w:t>
      </w:r>
      <w:r w:rsidR="00084912">
        <w:rPr>
          <w:color w:val="000000" w:themeColor="text1"/>
        </w:rPr>
        <w:t xml:space="preserve"> the</w:t>
      </w:r>
      <w:r w:rsidR="008455F3" w:rsidRPr="772E2DA6">
        <w:rPr>
          <w:color w:val="000000" w:themeColor="text1"/>
        </w:rPr>
        <w:t xml:space="preserve"> reliability of </w:t>
      </w:r>
      <w:r w:rsidR="00212917" w:rsidRPr="772E2DA6">
        <w:rPr>
          <w:color w:val="000000" w:themeColor="text1"/>
        </w:rPr>
        <w:t xml:space="preserve">the </w:t>
      </w:r>
      <w:r w:rsidR="008455F3" w:rsidRPr="772E2DA6">
        <w:rPr>
          <w:color w:val="000000" w:themeColor="text1"/>
        </w:rPr>
        <w:t xml:space="preserve">pharmacokinetic results of both </w:t>
      </w:r>
      <w:r w:rsidR="00212917" w:rsidRPr="772E2DA6">
        <w:rPr>
          <w:color w:val="000000" w:themeColor="text1"/>
        </w:rPr>
        <w:t>clo</w:t>
      </w:r>
      <w:r w:rsidR="00422F31" w:rsidRPr="772E2DA6">
        <w:rPr>
          <w:color w:val="000000" w:themeColor="text1"/>
        </w:rPr>
        <w:t>trimazole and dapivirine</w:t>
      </w:r>
      <w:r w:rsidR="0098333A" w:rsidRPr="772E2DA6">
        <w:rPr>
          <w:color w:val="000000" w:themeColor="text1"/>
        </w:rPr>
        <w:t xml:space="preserve">, concurrent use should be </w:t>
      </w:r>
      <w:r w:rsidR="00E6325D" w:rsidRPr="772E2DA6">
        <w:rPr>
          <w:color w:val="000000" w:themeColor="text1"/>
        </w:rPr>
        <w:t xml:space="preserve">undertaken with caution. </w:t>
      </w:r>
    </w:p>
    <w:p w14:paraId="1A0E7C9A" w14:textId="5F4C5897" w:rsidR="00B04F62" w:rsidRDefault="00B554D4" w:rsidP="00DD508F">
      <w:pPr>
        <w:spacing w:after="120" w:line="240" w:lineRule="auto"/>
        <w:rPr>
          <w:rFonts w:cstheme="minorHAnsi"/>
          <w:color w:val="000000"/>
        </w:rPr>
      </w:pPr>
      <w:r>
        <w:rPr>
          <w:rFonts w:cstheme="minorHAnsi"/>
          <w:color w:val="000000"/>
        </w:rPr>
        <w:t>Because t</w:t>
      </w:r>
      <w:r w:rsidR="00FA546D">
        <w:rPr>
          <w:rFonts w:cstheme="minorHAnsi"/>
          <w:color w:val="000000"/>
        </w:rPr>
        <w:t xml:space="preserve">here </w:t>
      </w:r>
      <w:r w:rsidR="002D35D9">
        <w:rPr>
          <w:rFonts w:cstheme="minorHAnsi"/>
          <w:color w:val="000000"/>
        </w:rPr>
        <w:t>are</w:t>
      </w:r>
      <w:r w:rsidR="00FA546D">
        <w:rPr>
          <w:rFonts w:cstheme="minorHAnsi"/>
          <w:color w:val="000000"/>
        </w:rPr>
        <w:t xml:space="preserve"> no data on concomitant use of</w:t>
      </w:r>
      <w:r w:rsidR="001C1C8C">
        <w:rPr>
          <w:rFonts w:cstheme="minorHAnsi"/>
          <w:color w:val="000000"/>
        </w:rPr>
        <w:t xml:space="preserve"> the ring and</w:t>
      </w:r>
      <w:r w:rsidR="00FA546D">
        <w:rPr>
          <w:rFonts w:cstheme="minorHAnsi"/>
          <w:color w:val="000000"/>
        </w:rPr>
        <w:t xml:space="preserve"> </w:t>
      </w:r>
      <w:r w:rsidR="00C41AD2">
        <w:rPr>
          <w:rFonts w:cstheme="minorHAnsi"/>
          <w:color w:val="000000"/>
        </w:rPr>
        <w:t xml:space="preserve">metronidazole </w:t>
      </w:r>
      <w:r w:rsidR="001C1C8C">
        <w:rPr>
          <w:rFonts w:cstheme="minorHAnsi"/>
          <w:color w:val="000000"/>
        </w:rPr>
        <w:t>or</w:t>
      </w:r>
      <w:r w:rsidR="00C41AD2">
        <w:rPr>
          <w:rFonts w:cstheme="minorHAnsi"/>
          <w:color w:val="000000"/>
        </w:rPr>
        <w:t xml:space="preserve"> clindamycin</w:t>
      </w:r>
      <w:r w:rsidR="001D1970">
        <w:rPr>
          <w:rFonts w:cstheme="minorHAnsi"/>
          <w:color w:val="000000"/>
        </w:rPr>
        <w:t>, and no current data on concomitant use of the ring and contraceptive rings or diaphragms</w:t>
      </w:r>
      <w:r w:rsidR="006B6633">
        <w:rPr>
          <w:rFonts w:cstheme="minorHAnsi"/>
          <w:color w:val="000000"/>
        </w:rPr>
        <w:t>,</w:t>
      </w:r>
      <w:r w:rsidR="001D1970">
        <w:rPr>
          <w:rFonts w:cstheme="minorHAnsi"/>
          <w:color w:val="000000"/>
        </w:rPr>
        <w:t xml:space="preserve"> </w:t>
      </w:r>
      <w:r w:rsidR="003B5B64">
        <w:rPr>
          <w:rFonts w:cstheme="minorHAnsi"/>
          <w:color w:val="000000"/>
        </w:rPr>
        <w:t>t</w:t>
      </w:r>
      <w:r w:rsidR="003B5B64">
        <w:rPr>
          <w:color w:val="000000" w:themeColor="text1"/>
        </w:rPr>
        <w:t>hus</w:t>
      </w:r>
      <w:r w:rsidR="001D1970">
        <w:rPr>
          <w:rFonts w:cstheme="minorHAnsi"/>
          <w:color w:val="000000"/>
        </w:rPr>
        <w:t xml:space="preserve"> conc</w:t>
      </w:r>
      <w:r w:rsidR="00B16AE9">
        <w:rPr>
          <w:rFonts w:cstheme="minorHAnsi"/>
          <w:color w:val="000000"/>
        </w:rPr>
        <w:t xml:space="preserve">urrent </w:t>
      </w:r>
      <w:r w:rsidR="001D1970">
        <w:rPr>
          <w:rFonts w:cstheme="minorHAnsi"/>
          <w:color w:val="000000"/>
        </w:rPr>
        <w:t xml:space="preserve">use is not recommended. </w:t>
      </w:r>
    </w:p>
    <w:p w14:paraId="7734B969" w14:textId="38715E54" w:rsidR="0097167D" w:rsidRDefault="236323D3" w:rsidP="0097167D">
      <w:pPr>
        <w:spacing w:after="120" w:line="240" w:lineRule="auto"/>
        <w:rPr>
          <w:color w:val="000000"/>
        </w:rPr>
      </w:pPr>
      <w:r w:rsidRPr="1D9AD929">
        <w:rPr>
          <w:color w:val="000000" w:themeColor="text1"/>
        </w:rPr>
        <w:t xml:space="preserve">There are no known interactions between dapivirine and contraceptive hormones, hormones used for gender-affirming hormone therapy, alcohol, or recreational drugs. However, if a client or potential client thinks their use of alcohol or other substances is interfering or may interfere with effective use of the ring, the provider should </w:t>
      </w:r>
      <w:r w:rsidR="6B1D75BC" w:rsidRPr="15C66FE6">
        <w:rPr>
          <w:color w:val="000000" w:themeColor="text1"/>
        </w:rPr>
        <w:t xml:space="preserve">engage the client to understand what support or referrals might be valuable to support effective use while also discussing </w:t>
      </w:r>
      <w:r w:rsidRPr="1D9AD929">
        <w:rPr>
          <w:color w:val="000000" w:themeColor="text1"/>
        </w:rPr>
        <w:t xml:space="preserve">additional prevention options, including </w:t>
      </w:r>
      <w:r w:rsidR="531D0CC7" w:rsidRPr="15C66FE6">
        <w:rPr>
          <w:color w:val="000000" w:themeColor="text1"/>
        </w:rPr>
        <w:t>other PrEP methods and the</w:t>
      </w:r>
      <w:r w:rsidR="5F443FC8" w:rsidRPr="15C66FE6">
        <w:rPr>
          <w:color w:val="000000" w:themeColor="text1"/>
        </w:rPr>
        <w:t xml:space="preserve"> </w:t>
      </w:r>
      <w:r w:rsidRPr="1D9AD929">
        <w:rPr>
          <w:color w:val="000000" w:themeColor="text1"/>
        </w:rPr>
        <w:t xml:space="preserve">use of condoms and condom-compatible lubricant. </w:t>
      </w:r>
    </w:p>
    <w:p w14:paraId="0F605900" w14:textId="47E08D48" w:rsidR="21301009" w:rsidRDefault="21301009" w:rsidP="4D766C22">
      <w:pPr>
        <w:spacing w:after="120" w:line="240" w:lineRule="auto"/>
        <w:rPr>
          <w:color w:val="000000" w:themeColor="text1"/>
        </w:rPr>
      </w:pPr>
      <w:r w:rsidRPr="13A774D0">
        <w:rPr>
          <w:color w:val="000000" w:themeColor="text1"/>
        </w:rPr>
        <w:t xml:space="preserve">For information on concurrent use of the ring </w:t>
      </w:r>
      <w:r w:rsidRPr="0EE50CAE">
        <w:rPr>
          <w:color w:val="000000" w:themeColor="text1"/>
        </w:rPr>
        <w:t>with other PrEP products, see</w:t>
      </w:r>
      <w:r w:rsidR="0089524D">
        <w:rPr>
          <w:color w:val="000000" w:themeColor="text1"/>
        </w:rPr>
        <w:t xml:space="preserve"> </w:t>
      </w:r>
      <w:r w:rsidR="00F9233A">
        <w:rPr>
          <w:color w:val="000000" w:themeColor="text1"/>
        </w:rPr>
        <w:t xml:space="preserve">the </w:t>
      </w:r>
      <w:r w:rsidR="0089524D">
        <w:rPr>
          <w:i/>
          <w:iCs/>
          <w:color w:val="000000" w:themeColor="text1"/>
        </w:rPr>
        <w:t xml:space="preserve">Switching Between PrEP Methods and Simultaneous Use </w:t>
      </w:r>
      <w:r w:rsidR="0089524D">
        <w:rPr>
          <w:color w:val="000000" w:themeColor="text1"/>
        </w:rPr>
        <w:t>section below.</w:t>
      </w:r>
    </w:p>
    <w:p w14:paraId="6731B0B0" w14:textId="557FF146" w:rsidR="00617AF0" w:rsidRPr="00606B35" w:rsidRDefault="3607F25C" w:rsidP="1D9AD929">
      <w:pPr>
        <w:pStyle w:val="Heading3"/>
        <w:spacing w:before="0" w:after="120" w:line="240" w:lineRule="auto"/>
        <w:rPr>
          <w:rFonts w:asciiTheme="minorHAnsi" w:hAnsiTheme="minorHAnsi" w:cstheme="minorBidi"/>
          <w:color w:val="2F5496" w:themeColor="accent1" w:themeShade="BF"/>
        </w:rPr>
      </w:pPr>
      <w:bookmarkStart w:id="23" w:name="_Toc182989104"/>
      <w:r w:rsidRPr="1D9AD929">
        <w:rPr>
          <w:rFonts w:asciiTheme="minorHAnsi" w:hAnsiTheme="minorHAnsi" w:cstheme="minorBidi"/>
        </w:rPr>
        <w:t>Contraindications for PrEP Ring</w:t>
      </w:r>
      <w:r w:rsidR="5F36C2E7" w:rsidRPr="1D9AD929">
        <w:rPr>
          <w:rFonts w:asciiTheme="minorHAnsi" w:hAnsiTheme="minorHAnsi" w:cstheme="minorBidi"/>
        </w:rPr>
        <w:t xml:space="preserve"> Use</w:t>
      </w:r>
      <w:bookmarkEnd w:id="23"/>
    </w:p>
    <w:p w14:paraId="785440ED" w14:textId="77777777" w:rsidR="00617AF0" w:rsidRPr="00606B35" w:rsidRDefault="00617AF0" w:rsidP="00DD508F">
      <w:pPr>
        <w:pStyle w:val="RISEBodyText"/>
        <w:spacing w:after="120"/>
        <w:rPr>
          <w:rFonts w:asciiTheme="minorHAnsi" w:hAnsiTheme="minorHAnsi" w:cstheme="minorHAnsi"/>
          <w:color w:val="auto"/>
        </w:rPr>
      </w:pPr>
      <w:r w:rsidRPr="00606B35">
        <w:rPr>
          <w:rFonts w:asciiTheme="minorHAnsi" w:hAnsiTheme="minorHAnsi" w:cstheme="minorHAnsi"/>
          <w:color w:val="auto"/>
        </w:rPr>
        <w:t>The ring should not be provided to people with:</w:t>
      </w:r>
    </w:p>
    <w:p w14:paraId="534BC101" w14:textId="30B7D4C3" w:rsidR="00617AF0" w:rsidRPr="00606B35" w:rsidRDefault="00350C91" w:rsidP="00391C93">
      <w:pPr>
        <w:numPr>
          <w:ilvl w:val="0"/>
          <w:numId w:val="1"/>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An </w:t>
      </w:r>
      <w:r w:rsidR="00617AF0" w:rsidRPr="00606B35">
        <w:rPr>
          <w:rFonts w:cstheme="minorHAnsi"/>
          <w:color w:val="000000"/>
        </w:rPr>
        <w:t xml:space="preserve">HIV-positive test result </w:t>
      </w:r>
      <w:r w:rsidR="002A28E7" w:rsidRPr="00606B35">
        <w:rPr>
          <w:rFonts w:cstheme="minorHAnsi"/>
          <w:color w:val="000000"/>
        </w:rPr>
        <w:t>accord</w:t>
      </w:r>
      <w:r w:rsidR="00617AF0" w:rsidRPr="00606B35">
        <w:rPr>
          <w:rFonts w:cstheme="minorHAnsi"/>
          <w:color w:val="000000"/>
        </w:rPr>
        <w:t xml:space="preserve">ing </w:t>
      </w:r>
      <w:r w:rsidR="004B65FD" w:rsidRPr="00606B35">
        <w:rPr>
          <w:rFonts w:cstheme="minorHAnsi"/>
          <w:color w:val="000000"/>
        </w:rPr>
        <w:t>to</w:t>
      </w:r>
      <w:r w:rsidR="00617AF0" w:rsidRPr="00606B35">
        <w:rPr>
          <w:rFonts w:cstheme="minorHAnsi"/>
          <w:color w:val="000000"/>
        </w:rPr>
        <w:t xml:space="preserve"> the national HIV testing algorithm</w:t>
      </w:r>
    </w:p>
    <w:p w14:paraId="1C38156A" w14:textId="7BEA9942" w:rsidR="00617AF0" w:rsidRPr="00606B35" w:rsidRDefault="00E20438" w:rsidP="00391C93">
      <w:pPr>
        <w:numPr>
          <w:ilvl w:val="0"/>
          <w:numId w:val="1"/>
        </w:numPr>
        <w:pBdr>
          <w:top w:val="nil"/>
          <w:left w:val="nil"/>
          <w:bottom w:val="nil"/>
          <w:right w:val="nil"/>
          <w:between w:val="nil"/>
        </w:pBdr>
        <w:spacing w:after="120" w:line="240" w:lineRule="auto"/>
        <w:rPr>
          <w:color w:val="000000"/>
        </w:rPr>
      </w:pPr>
      <w:r>
        <w:rPr>
          <w:color w:val="000000" w:themeColor="text1"/>
        </w:rPr>
        <w:t>Potential</w:t>
      </w:r>
      <w:r w:rsidR="05454FDF" w:rsidRPr="00606B35">
        <w:rPr>
          <w:color w:val="000000" w:themeColor="text1"/>
        </w:rPr>
        <w:t xml:space="preserve"> exposure to HIV in the past 72 hours (</w:t>
      </w:r>
      <w:r w:rsidR="00D6180C">
        <w:rPr>
          <w:color w:val="000000" w:themeColor="text1"/>
        </w:rPr>
        <w:t>these clients should be offered</w:t>
      </w:r>
      <w:r w:rsidR="05454FDF" w:rsidRPr="00606B35">
        <w:rPr>
          <w:color w:val="000000" w:themeColor="text1"/>
        </w:rPr>
        <w:t xml:space="preserve"> PEP</w:t>
      </w:r>
      <w:r w:rsidR="00B239B6">
        <w:rPr>
          <w:color w:val="000000" w:themeColor="text1"/>
        </w:rPr>
        <w:t>)</w:t>
      </w:r>
    </w:p>
    <w:p w14:paraId="6CA3DA12" w14:textId="386D7DB3" w:rsidR="00617AF0" w:rsidRPr="00606B35" w:rsidRDefault="000766B6" w:rsidP="00391C93">
      <w:pPr>
        <w:numPr>
          <w:ilvl w:val="0"/>
          <w:numId w:val="1"/>
        </w:numPr>
        <w:pBdr>
          <w:top w:val="nil"/>
          <w:left w:val="nil"/>
          <w:bottom w:val="nil"/>
          <w:right w:val="nil"/>
          <w:between w:val="nil"/>
        </w:pBdr>
        <w:spacing w:after="120" w:line="240" w:lineRule="auto"/>
        <w:rPr>
          <w:rFonts w:cstheme="minorHAnsi"/>
          <w:color w:val="000000"/>
        </w:rPr>
      </w:pPr>
      <w:r>
        <w:rPr>
          <w:rFonts w:cstheme="minorHAnsi"/>
          <w:color w:val="000000"/>
        </w:rPr>
        <w:t>Unwillingness or inability</w:t>
      </w:r>
      <w:r w:rsidRPr="00606B35">
        <w:rPr>
          <w:rFonts w:cstheme="minorHAnsi"/>
          <w:color w:val="000000"/>
        </w:rPr>
        <w:t xml:space="preserve"> </w:t>
      </w:r>
      <w:r w:rsidR="00617AF0" w:rsidRPr="00606B35">
        <w:rPr>
          <w:rFonts w:cstheme="minorHAnsi"/>
          <w:color w:val="000000"/>
        </w:rPr>
        <w:t xml:space="preserve">to commit to effectively using the ring </w:t>
      </w:r>
    </w:p>
    <w:p w14:paraId="1F5201C4" w14:textId="1379889C" w:rsidR="00617AF0" w:rsidRPr="00606B35" w:rsidRDefault="00617AF0" w:rsidP="00391C93">
      <w:pPr>
        <w:numPr>
          <w:ilvl w:val="0"/>
          <w:numId w:val="1"/>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Allergy or hypersensitivity to </w:t>
      </w:r>
      <w:r w:rsidRPr="00606B35">
        <w:rPr>
          <w:rFonts w:cstheme="minorHAnsi"/>
          <w:bCs/>
          <w:iCs/>
        </w:rPr>
        <w:t>active substance or other substances listed in the product information sheet</w:t>
      </w:r>
    </w:p>
    <w:p w14:paraId="00F65037" w14:textId="433994B4" w:rsidR="000B6A5E" w:rsidRPr="00606B35" w:rsidRDefault="000B6A5E" w:rsidP="00DD508F">
      <w:pPr>
        <w:pStyle w:val="Heading3"/>
        <w:spacing w:before="0" w:after="120" w:line="240" w:lineRule="auto"/>
        <w:rPr>
          <w:rFonts w:asciiTheme="minorHAnsi" w:hAnsiTheme="minorHAnsi" w:cstheme="minorBidi"/>
        </w:rPr>
      </w:pPr>
      <w:bookmarkStart w:id="24" w:name="_Toc80690926"/>
      <w:bookmarkStart w:id="25" w:name="_Toc182989105"/>
      <w:r w:rsidRPr="0294A27B">
        <w:rPr>
          <w:rFonts w:asciiTheme="minorHAnsi" w:hAnsiTheme="minorHAnsi" w:cstheme="minorBidi"/>
        </w:rPr>
        <w:t>PrEP Ring Use</w:t>
      </w:r>
      <w:bookmarkEnd w:id="25"/>
    </w:p>
    <w:p w14:paraId="2E7B77F6" w14:textId="42AA9720" w:rsidR="0017620C" w:rsidRDefault="46624BA3" w:rsidP="0068452F">
      <w:pPr>
        <w:spacing w:after="0" w:line="240" w:lineRule="auto"/>
      </w:pPr>
      <w:r>
        <w:t xml:space="preserve">The ring may be offered as an option for </w:t>
      </w:r>
      <w:r w:rsidR="1049235C">
        <w:t xml:space="preserve">people AFAB </w:t>
      </w:r>
      <w:r>
        <w:t xml:space="preserve">who wish to prevent HIV acquisition through receptive vaginal sex and are unable or do not want to take </w:t>
      </w:r>
      <w:r w:rsidR="004B37D6">
        <w:t>a different PrEP method</w:t>
      </w:r>
      <w:r>
        <w:t xml:space="preserve">, or when </w:t>
      </w:r>
      <w:r w:rsidR="004B37D6">
        <w:t>different PrEP methods</w:t>
      </w:r>
      <w:r>
        <w:t xml:space="preserve"> </w:t>
      </w:r>
      <w:r w:rsidR="004B37D6">
        <w:t xml:space="preserve">are </w:t>
      </w:r>
      <w:r>
        <w:t xml:space="preserve">not available. The ring must be inserted correctly into the vagina and worn for </w:t>
      </w:r>
      <w:r w:rsidR="006F09FC">
        <w:t>28</w:t>
      </w:r>
      <w:r w:rsidR="005C26E1">
        <w:t>-days</w:t>
      </w:r>
      <w:r>
        <w:t xml:space="preserve"> without remov</w:t>
      </w:r>
      <w:r w:rsidR="31883690">
        <w:t>al</w:t>
      </w:r>
      <w:r>
        <w:t>. The ring must be in place for at least 24 hours before it is maximally effective.</w:t>
      </w:r>
      <w:r w:rsidR="5EB89AE7">
        <w:t xml:space="preserve"> </w:t>
      </w:r>
      <w:r w:rsidR="00683CFD">
        <w:rPr>
          <w:color w:val="000000" w:themeColor="text1"/>
        </w:rPr>
        <w:t xml:space="preserve">Clients starting the ring should be counseled on using another HIV prevention strategy during the time it takes for the method to be fully effective. </w:t>
      </w:r>
      <w:r w:rsidR="5EB89AE7">
        <w:t xml:space="preserve">If a client wishes to </w:t>
      </w:r>
      <w:r w:rsidR="2E96BEAE">
        <w:t>dis</w:t>
      </w:r>
      <w:r w:rsidR="705390BA">
        <w:t>continue use of</w:t>
      </w:r>
      <w:r w:rsidR="5EB89AE7">
        <w:t xml:space="preserve"> the ring</w:t>
      </w:r>
      <w:r w:rsidR="3F8C593F">
        <w:t xml:space="preserve">, they can remove it. </w:t>
      </w:r>
      <w:r w:rsidR="5D2A0E9B">
        <w:t>The ring can be reinserted after removal until the 28-day period has expired</w:t>
      </w:r>
      <w:r w:rsidR="00DE3E92">
        <w:t xml:space="preserve">; </w:t>
      </w:r>
      <w:r w:rsidR="5D2A0E9B">
        <w:t>h</w:t>
      </w:r>
      <w:r w:rsidR="00DE3E92">
        <w:t>owever,</w:t>
      </w:r>
      <w:r w:rsidR="5D2A0E9B">
        <w:t xml:space="preserve"> levels of dapivirine </w:t>
      </w:r>
      <w:r w:rsidR="6C869BC1">
        <w:t>in the vagina</w:t>
      </w:r>
      <w:r w:rsidR="5D2A0E9B">
        <w:t xml:space="preserve"> drop quickly after ring removal</w:t>
      </w:r>
      <w:r w:rsidR="00EC7001">
        <w:t>,</w:t>
      </w:r>
      <w:r w:rsidR="5D2A0E9B">
        <w:t xml:space="preserve"> and therefore removal is not recommended during the </w:t>
      </w:r>
      <w:r w:rsidR="00971AD6">
        <w:t>28-day period</w:t>
      </w:r>
      <w:r w:rsidR="5D2A0E9B">
        <w:t xml:space="preserve">. Because </w:t>
      </w:r>
      <w:r w:rsidR="0044139D">
        <w:t xml:space="preserve">of the </w:t>
      </w:r>
      <w:r w:rsidR="001032A9">
        <w:t xml:space="preserve">quick drop in </w:t>
      </w:r>
      <w:r w:rsidR="5D2A0E9B">
        <w:t>levels of dapivirine</w:t>
      </w:r>
      <w:r w:rsidR="07F6761A">
        <w:t xml:space="preserve"> </w:t>
      </w:r>
      <w:r w:rsidR="10EA8535">
        <w:t>in the vagina</w:t>
      </w:r>
      <w:r w:rsidR="5D2A0E9B">
        <w:t xml:space="preserve"> after ring removal, the need for other HIV prevention measures should be reinforced </w:t>
      </w:r>
      <w:r w:rsidR="098D3596">
        <w:t>after removal if potential exposure to HIV</w:t>
      </w:r>
      <w:r w:rsidR="4A956E1A">
        <w:t xml:space="preserve"> continues</w:t>
      </w:r>
      <w:r w:rsidR="098D3596">
        <w:t xml:space="preserve">. </w:t>
      </w:r>
      <w:r w:rsidR="20A5A56B">
        <w:t>If</w:t>
      </w:r>
      <w:r w:rsidR="5D2A0E9B">
        <w:t xml:space="preserve"> </w:t>
      </w:r>
      <w:r w:rsidR="3D4860E3">
        <w:t xml:space="preserve">removed and </w:t>
      </w:r>
      <w:r w:rsidR="5D2A0E9B">
        <w:t xml:space="preserve">reinserted, the ring must be in place for at least 24 hours </w:t>
      </w:r>
      <w:r w:rsidR="1A2EEC89">
        <w:t xml:space="preserve">to reach </w:t>
      </w:r>
      <w:r w:rsidR="5D2A0E9B">
        <w:t xml:space="preserve">maximum protection. </w:t>
      </w:r>
      <w:r w:rsidR="3F8C593F">
        <w:t xml:space="preserve">It is not known </w:t>
      </w:r>
      <w:r w:rsidR="5B5FF82B">
        <w:t>how long the ring must remain in place</w:t>
      </w:r>
      <w:r w:rsidR="3F8C593F">
        <w:t xml:space="preserve"> after a potential exposure </w:t>
      </w:r>
      <w:r w:rsidR="38E6DD0B">
        <w:t>to</w:t>
      </w:r>
      <w:r w:rsidR="68D37B6A">
        <w:t xml:space="preserve"> be maximally effective</w:t>
      </w:r>
      <w:r w:rsidR="11383F44">
        <w:t>.</w:t>
      </w:r>
      <w:r w:rsidR="705390BA">
        <w:t xml:space="preserve"> Ideally, clients who are discontinuing</w:t>
      </w:r>
      <w:r w:rsidR="1F65464C">
        <w:t xml:space="preserve"> PrEP use</w:t>
      </w:r>
      <w:r w:rsidR="705390BA">
        <w:t xml:space="preserve"> </w:t>
      </w:r>
      <w:r w:rsidR="00D125C1">
        <w:t xml:space="preserve">should be encouraged to discuss </w:t>
      </w:r>
      <w:r w:rsidR="000E05CB">
        <w:t>discontinuation and be supported by providers</w:t>
      </w:r>
      <w:r w:rsidR="00D125C1">
        <w:t xml:space="preserve"> </w:t>
      </w:r>
      <w:r w:rsidR="1F65464C">
        <w:t>to use other HIV prevention practices</w:t>
      </w:r>
      <w:r w:rsidR="000E05CB">
        <w:t>,</w:t>
      </w:r>
      <w:r w:rsidR="1F65464C">
        <w:t xml:space="preserve"> if needed.</w:t>
      </w:r>
    </w:p>
    <w:p w14:paraId="7C36364F" w14:textId="77777777" w:rsidR="006A6434" w:rsidRDefault="006A6434" w:rsidP="0068452F">
      <w:pPr>
        <w:spacing w:after="0" w:line="240" w:lineRule="auto"/>
      </w:pPr>
    </w:p>
    <w:p w14:paraId="30CF51D5" w14:textId="1454CB02" w:rsidR="00587408" w:rsidRDefault="002720E5" w:rsidP="0068452F">
      <w:pPr>
        <w:spacing w:after="0" w:line="240" w:lineRule="auto"/>
      </w:pPr>
      <w:r w:rsidRPr="00A858F7">
        <w:t>Due to</w:t>
      </w:r>
      <w:r w:rsidR="006A6434" w:rsidRPr="00A858F7">
        <w:t xml:space="preserve"> the localized release of dapivirine and the resulting low possibility of drug resistance, there may be benefit to clients if they are offered a choice to start or continue to use the ring even if suspected of having AHI.</w:t>
      </w:r>
    </w:p>
    <w:p w14:paraId="404621FE" w14:textId="77777777" w:rsidR="006A6434" w:rsidRDefault="006A6434" w:rsidP="0068452F">
      <w:pPr>
        <w:spacing w:after="0" w:line="240" w:lineRule="auto"/>
      </w:pPr>
    </w:p>
    <w:p w14:paraId="624D367F" w14:textId="3BC1319F" w:rsidR="0032523B" w:rsidRDefault="0032523B" w:rsidP="0032523B">
      <w:pPr>
        <w:spacing w:after="0" w:line="240" w:lineRule="auto"/>
      </w:pPr>
      <w:r>
        <w:lastRenderedPageBreak/>
        <w:t xml:space="preserve">The ring does not interfere with sexual intercourse and should be worn during sex. It can be used with condoms (internal and external) and condom-compatible lubricant. Although it is unlikely, it is possible that a client’s partner(s) may feel the ring during sex. If this happens, the client may need to confirm ring placement, </w:t>
      </w:r>
      <w:r w:rsidR="006A238C">
        <w:t>bec</w:t>
      </w:r>
      <w:r>
        <w:t>a</w:t>
      </w:r>
      <w:r w:rsidR="006A238C">
        <w:t>u</w:t>
      </w:r>
      <w:r>
        <w:t>s</w:t>
      </w:r>
      <w:r w:rsidR="006A238C">
        <w:t>e</w:t>
      </w:r>
      <w:r>
        <w:t xml:space="preserve"> it may mean that the ring should be pushed further into the vagina. The ring does not cause harm to any partner, but it does not prevent a client’s partner(s) from acquiring HIV.</w:t>
      </w:r>
    </w:p>
    <w:p w14:paraId="39347DB5" w14:textId="77777777" w:rsidR="00361A59" w:rsidRDefault="00361A59" w:rsidP="0032523B">
      <w:pPr>
        <w:spacing w:after="0" w:line="240" w:lineRule="auto"/>
      </w:pPr>
    </w:p>
    <w:p w14:paraId="7B0AE57D" w14:textId="65D51936" w:rsidR="006C7EDA" w:rsidRDefault="0032523B" w:rsidP="0032523B">
      <w:pPr>
        <w:spacing w:after="0" w:line="240" w:lineRule="auto"/>
      </w:pPr>
      <w:r>
        <w:t xml:space="preserve">The ring does not cover the cervix and does not interrupt the flow of menstrual fluids. There </w:t>
      </w:r>
      <w:proofErr w:type="gramStart"/>
      <w:r>
        <w:t>are</w:t>
      </w:r>
      <w:proofErr w:type="gramEnd"/>
      <w:r>
        <w:t xml:space="preserve"> no safety concerns related to the use of tampons, menstrual pads, or other menstrual products while using the ring. If using a tampon, </w:t>
      </w:r>
      <w:r w:rsidR="00361A59">
        <w:t xml:space="preserve">the client should </w:t>
      </w:r>
      <w:r>
        <w:t xml:space="preserve">be careful not to accidentally remove the ring when removing the tampon. </w:t>
      </w:r>
    </w:p>
    <w:p w14:paraId="3EFEC1F5" w14:textId="77777777" w:rsidR="006C7EDA" w:rsidRDefault="006C7EDA" w:rsidP="0032523B">
      <w:pPr>
        <w:spacing w:after="0" w:line="240" w:lineRule="auto"/>
      </w:pPr>
    </w:p>
    <w:p w14:paraId="4002E211" w14:textId="038FCED7" w:rsidR="006C7EDA" w:rsidRDefault="0032523B" w:rsidP="0032523B">
      <w:pPr>
        <w:spacing w:after="0" w:line="240" w:lineRule="auto"/>
      </w:pPr>
      <w:r>
        <w:t xml:space="preserve">Although it is unlikely, it is possible that the ring may fall out. If this happens in a clean location, the ring should be </w:t>
      </w:r>
    </w:p>
    <w:p w14:paraId="2D22CF0B" w14:textId="51839549" w:rsidR="0032523B" w:rsidRDefault="0032523B" w:rsidP="0032523B">
      <w:pPr>
        <w:spacing w:after="0" w:line="240" w:lineRule="auto"/>
      </w:pPr>
      <w:r>
        <w:t>rinsed in clean water and reinserted. If the ring falls out in a dirty location, the ring should be replaced with a new ring.</w:t>
      </w:r>
    </w:p>
    <w:p w14:paraId="750656D4" w14:textId="77777777" w:rsidR="0068452F" w:rsidRPr="00AD48D6" w:rsidRDefault="0068452F" w:rsidP="0068452F">
      <w:pPr>
        <w:spacing w:after="0" w:line="240" w:lineRule="auto"/>
        <w:rPr>
          <w:color w:val="4472C4" w:themeColor="accent1"/>
        </w:rPr>
      </w:pPr>
    </w:p>
    <w:p w14:paraId="1974D969" w14:textId="77777777" w:rsidR="00DD1E57" w:rsidRPr="00606B35" w:rsidRDefault="00DD1E57" w:rsidP="00DD508F">
      <w:pPr>
        <w:pStyle w:val="Heading4"/>
        <w:spacing w:before="0" w:after="120" w:line="240" w:lineRule="auto"/>
        <w:rPr>
          <w:rFonts w:asciiTheme="minorHAnsi" w:hAnsiTheme="minorHAnsi" w:cstheme="minorBidi"/>
          <w:i w:val="0"/>
        </w:rPr>
      </w:pPr>
      <w:bookmarkStart w:id="26" w:name="_Toc182989106"/>
      <w:r w:rsidRPr="0294A27B">
        <w:rPr>
          <w:rFonts w:asciiTheme="minorHAnsi" w:hAnsiTheme="minorHAnsi" w:cstheme="minorBidi"/>
          <w:i w:val="0"/>
        </w:rPr>
        <w:t>Inserting the PrEP Ring</w:t>
      </w:r>
      <w:bookmarkEnd w:id="26"/>
    </w:p>
    <w:p w14:paraId="2662D574" w14:textId="47B12CB3" w:rsidR="00E06B2B" w:rsidRPr="00606B35" w:rsidRDefault="00DD1E57" w:rsidP="0068452F">
      <w:pPr>
        <w:spacing w:after="120" w:line="240" w:lineRule="auto"/>
        <w:rPr>
          <w:rFonts w:cstheme="minorHAnsi"/>
          <w:color w:val="000000" w:themeColor="text1"/>
        </w:rPr>
      </w:pPr>
      <w:r w:rsidRPr="00606B35">
        <w:rPr>
          <w:rFonts w:cstheme="minorHAnsi"/>
          <w:color w:val="000000" w:themeColor="text1"/>
        </w:rPr>
        <w:t>Clients may need initial guidance and support to learn how to use the ring</w:t>
      </w:r>
      <w:r w:rsidR="00FE2B09">
        <w:rPr>
          <w:rFonts w:cstheme="minorHAnsi"/>
          <w:color w:val="000000" w:themeColor="text1"/>
        </w:rPr>
        <w:t>.</w:t>
      </w:r>
      <w:r w:rsidRPr="00606B35">
        <w:rPr>
          <w:rFonts w:cstheme="minorHAnsi"/>
          <w:color w:val="000000" w:themeColor="text1"/>
        </w:rPr>
        <w:t xml:space="preserve"> </w:t>
      </w:r>
      <w:r w:rsidR="00FE2B09">
        <w:rPr>
          <w:rFonts w:cstheme="minorHAnsi"/>
          <w:color w:val="000000" w:themeColor="text1"/>
        </w:rPr>
        <w:t>O</w:t>
      </w:r>
      <w:r w:rsidRPr="00606B35">
        <w:rPr>
          <w:rFonts w:cstheme="minorHAnsi"/>
          <w:color w:val="000000" w:themeColor="text1"/>
        </w:rPr>
        <w:t xml:space="preserve">nce </w:t>
      </w:r>
      <w:r w:rsidR="00FE2B09">
        <w:rPr>
          <w:rFonts w:cstheme="minorHAnsi"/>
          <w:color w:val="000000" w:themeColor="text1"/>
        </w:rPr>
        <w:t xml:space="preserve">they feel </w:t>
      </w:r>
      <w:r w:rsidRPr="00606B35">
        <w:rPr>
          <w:rFonts w:cstheme="minorHAnsi"/>
          <w:color w:val="000000" w:themeColor="text1"/>
        </w:rPr>
        <w:t>confident</w:t>
      </w:r>
      <w:r w:rsidR="009D743E">
        <w:rPr>
          <w:rFonts w:cstheme="minorHAnsi"/>
          <w:color w:val="000000" w:themeColor="text1"/>
        </w:rPr>
        <w:t xml:space="preserve"> in doing so</w:t>
      </w:r>
      <w:r w:rsidRPr="00606B35">
        <w:rPr>
          <w:rFonts w:cstheme="minorHAnsi"/>
          <w:color w:val="000000" w:themeColor="text1"/>
        </w:rPr>
        <w:t xml:space="preserve">, </w:t>
      </w:r>
      <w:r w:rsidR="009D743E">
        <w:rPr>
          <w:rFonts w:cstheme="minorHAnsi"/>
          <w:color w:val="000000" w:themeColor="text1"/>
        </w:rPr>
        <w:t xml:space="preserve">they </w:t>
      </w:r>
      <w:r w:rsidRPr="00606B35">
        <w:rPr>
          <w:rFonts w:cstheme="minorHAnsi"/>
          <w:color w:val="000000" w:themeColor="text1"/>
        </w:rPr>
        <w:t>can continue to use the ring on their own. Some clients are comfortable us</w:t>
      </w:r>
      <w:r w:rsidR="000D263F" w:rsidRPr="00606B35">
        <w:rPr>
          <w:rFonts w:cstheme="minorHAnsi"/>
          <w:color w:val="000000" w:themeColor="text1"/>
        </w:rPr>
        <w:t>ing</w:t>
      </w:r>
      <w:r w:rsidRPr="00606B35">
        <w:rPr>
          <w:rFonts w:cstheme="minorHAnsi"/>
          <w:color w:val="000000" w:themeColor="text1"/>
        </w:rPr>
        <w:t xml:space="preserve"> the ring on their own with minimal support</w:t>
      </w:r>
      <w:r w:rsidR="00391ACE" w:rsidRPr="00606B35">
        <w:rPr>
          <w:rFonts w:cstheme="minorHAnsi"/>
          <w:color w:val="000000" w:themeColor="text1"/>
        </w:rPr>
        <w:t xml:space="preserve"> from their first use</w:t>
      </w:r>
      <w:r w:rsidRPr="00606B35">
        <w:rPr>
          <w:rFonts w:cstheme="minorHAnsi"/>
          <w:color w:val="000000" w:themeColor="text1"/>
        </w:rPr>
        <w:t>. However, for clients who prefer</w:t>
      </w:r>
      <w:r w:rsidR="00EB2F68" w:rsidRPr="00606B35">
        <w:rPr>
          <w:rFonts w:cstheme="minorHAnsi"/>
          <w:color w:val="000000" w:themeColor="text1"/>
        </w:rPr>
        <w:t xml:space="preserve"> support</w:t>
      </w:r>
      <w:r w:rsidRPr="00606B35">
        <w:rPr>
          <w:rFonts w:cstheme="minorHAnsi"/>
          <w:color w:val="000000" w:themeColor="text1"/>
        </w:rPr>
        <w:t>, a health</w:t>
      </w:r>
      <w:r w:rsidR="00EB2F68" w:rsidRPr="00606B35">
        <w:rPr>
          <w:rFonts w:cstheme="minorHAnsi"/>
          <w:color w:val="000000" w:themeColor="text1"/>
        </w:rPr>
        <w:t xml:space="preserve"> </w:t>
      </w:r>
      <w:r w:rsidRPr="00606B35">
        <w:rPr>
          <w:rFonts w:cstheme="minorHAnsi"/>
          <w:color w:val="000000" w:themeColor="text1"/>
        </w:rPr>
        <w:t xml:space="preserve">care provider can help insert the ring or confirm placement. </w:t>
      </w:r>
      <w:r w:rsidR="00783445" w:rsidRPr="00606B35">
        <w:rPr>
          <w:rFonts w:cstheme="minorHAnsi"/>
          <w:color w:val="000000" w:themeColor="text1"/>
        </w:rPr>
        <w:t xml:space="preserve">The ring is inserted </w:t>
      </w:r>
      <w:r w:rsidR="00333C25" w:rsidRPr="00606B35">
        <w:rPr>
          <w:rFonts w:cstheme="minorHAnsi"/>
          <w:color w:val="000000" w:themeColor="text1"/>
        </w:rPr>
        <w:t>by hand</w:t>
      </w:r>
      <w:r w:rsidR="005F588E" w:rsidRPr="00606B35">
        <w:rPr>
          <w:rFonts w:cstheme="minorHAnsi"/>
          <w:color w:val="000000" w:themeColor="text1"/>
        </w:rPr>
        <w:t xml:space="preserve">; there is no need to use a speculum or other tools to insert </w:t>
      </w:r>
      <w:r w:rsidR="00920BC5">
        <w:rPr>
          <w:rFonts w:cstheme="minorHAnsi"/>
          <w:color w:val="000000" w:themeColor="text1"/>
        </w:rPr>
        <w:t>i</w:t>
      </w:r>
      <w:r w:rsidR="005F588E" w:rsidRPr="00606B35">
        <w:rPr>
          <w:rFonts w:cstheme="minorHAnsi"/>
          <w:color w:val="000000" w:themeColor="text1"/>
        </w:rPr>
        <w:t xml:space="preserve">t. </w:t>
      </w:r>
      <w:r w:rsidR="00EC1B56" w:rsidRPr="00606B35">
        <w:rPr>
          <w:rFonts w:cstheme="minorHAnsi"/>
          <w:color w:val="000000" w:themeColor="text1"/>
        </w:rPr>
        <w:t xml:space="preserve">Clear </w:t>
      </w:r>
      <w:r w:rsidRPr="00606B35">
        <w:rPr>
          <w:rFonts w:cstheme="minorHAnsi"/>
          <w:color w:val="000000" w:themeColor="text1"/>
        </w:rPr>
        <w:t xml:space="preserve">visual instructions should be offered </w:t>
      </w:r>
      <w:r w:rsidR="001E252E" w:rsidRPr="00606B35">
        <w:rPr>
          <w:rFonts w:cstheme="minorHAnsi"/>
          <w:color w:val="000000" w:themeColor="text1"/>
        </w:rPr>
        <w:t>with the</w:t>
      </w:r>
      <w:r w:rsidRPr="00606B35">
        <w:rPr>
          <w:rFonts w:cstheme="minorHAnsi"/>
          <w:color w:val="000000" w:themeColor="text1"/>
        </w:rPr>
        <w:t xml:space="preserve"> ring. </w:t>
      </w:r>
      <w:r w:rsidR="00D27C06" w:rsidRPr="00606B35">
        <w:rPr>
          <w:rFonts w:cstheme="minorHAnsi"/>
          <w:color w:val="000000" w:themeColor="text1"/>
        </w:rPr>
        <w:t>Ring insertion steps for client</w:t>
      </w:r>
      <w:r w:rsidR="00442FC4" w:rsidRPr="00606B35">
        <w:rPr>
          <w:rFonts w:cstheme="minorHAnsi"/>
          <w:color w:val="000000" w:themeColor="text1"/>
        </w:rPr>
        <w:t>s</w:t>
      </w:r>
      <w:r w:rsidR="00D27C06" w:rsidRPr="00606B35">
        <w:rPr>
          <w:rFonts w:cstheme="minorHAnsi"/>
          <w:color w:val="000000" w:themeColor="text1"/>
        </w:rPr>
        <w:t xml:space="preserve"> are </w:t>
      </w:r>
      <w:r w:rsidR="001E252E" w:rsidRPr="00606B35">
        <w:rPr>
          <w:rFonts w:cstheme="minorHAnsi"/>
          <w:color w:val="000000" w:themeColor="text1"/>
        </w:rPr>
        <w:t xml:space="preserve">listed </w:t>
      </w:r>
      <w:r w:rsidR="00D27C06" w:rsidRPr="00606B35">
        <w:rPr>
          <w:rFonts w:cstheme="minorHAnsi"/>
          <w:color w:val="000000" w:themeColor="text1"/>
        </w:rPr>
        <w:t>in Box 2.</w:t>
      </w:r>
    </w:p>
    <w:tbl>
      <w:tblPr>
        <w:tblW w:w="0" w:type="auto"/>
        <w:tblLook w:val="04A0" w:firstRow="1" w:lastRow="0" w:firstColumn="1" w:lastColumn="0" w:noHBand="0" w:noVBand="1"/>
      </w:tblPr>
      <w:tblGrid>
        <w:gridCol w:w="10456"/>
      </w:tblGrid>
      <w:tr w:rsidR="00DD1E57" w:rsidRPr="00606B35" w14:paraId="36296EE4" w14:textId="77777777" w:rsidTr="00A7555C">
        <w:tc>
          <w:tcPr>
            <w:tcW w:w="10456" w:type="dxa"/>
            <w:shd w:val="clear" w:color="auto" w:fill="D9E2F3" w:themeFill="accent1" w:themeFillTint="33"/>
          </w:tcPr>
          <w:p w14:paraId="68E8F3AC" w14:textId="29440D98" w:rsidR="00DD1E57" w:rsidRPr="00606B35" w:rsidRDefault="00D27C06" w:rsidP="00DD508F">
            <w:pPr>
              <w:spacing w:after="120"/>
              <w:rPr>
                <w:rFonts w:cstheme="minorHAnsi"/>
                <w:b/>
              </w:rPr>
            </w:pPr>
            <w:r w:rsidRPr="00606B35">
              <w:rPr>
                <w:rFonts w:cstheme="minorHAnsi"/>
                <w:b/>
              </w:rPr>
              <w:t>Box 2</w:t>
            </w:r>
            <w:r w:rsidR="00E06B2B" w:rsidRPr="00606B35">
              <w:rPr>
                <w:rFonts w:cstheme="minorHAnsi"/>
                <w:b/>
              </w:rPr>
              <w:t>.</w:t>
            </w:r>
            <w:r w:rsidRPr="00606B35">
              <w:rPr>
                <w:rFonts w:cstheme="minorHAnsi"/>
                <w:b/>
              </w:rPr>
              <w:t xml:space="preserve"> </w:t>
            </w:r>
            <w:r w:rsidR="00DD1E57" w:rsidRPr="00606B35">
              <w:rPr>
                <w:rFonts w:cstheme="minorHAnsi"/>
                <w:b/>
              </w:rPr>
              <w:t>Ring insertion steps for client</w:t>
            </w:r>
            <w:r w:rsidR="00F3331B" w:rsidRPr="00606B35">
              <w:rPr>
                <w:rFonts w:cstheme="minorHAnsi"/>
                <w:b/>
              </w:rPr>
              <w:t>s</w:t>
            </w:r>
            <w:r w:rsidR="00DD1E57" w:rsidRPr="00606B35">
              <w:rPr>
                <w:rFonts w:cstheme="minorHAnsi"/>
                <w:b/>
              </w:rPr>
              <w:t xml:space="preserve"> </w:t>
            </w:r>
          </w:p>
          <w:p w14:paraId="4BD8EC6B" w14:textId="672CEA4A"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 xml:space="preserve">Get into a position that is comfortable for inserting the ring, such as squatting, </w:t>
            </w:r>
            <w:r w:rsidR="00B24B12">
              <w:rPr>
                <w:rFonts w:cstheme="minorHAnsi"/>
                <w:color w:val="000000"/>
              </w:rPr>
              <w:t xml:space="preserve">lifting </w:t>
            </w:r>
            <w:r w:rsidRPr="00606B35">
              <w:rPr>
                <w:rFonts w:cstheme="minorHAnsi"/>
                <w:color w:val="000000"/>
              </w:rPr>
              <w:t xml:space="preserve">one leg, or lying down. </w:t>
            </w:r>
            <w:r w:rsidR="00457648" w:rsidRPr="00606B35">
              <w:rPr>
                <w:rFonts w:cstheme="minorHAnsi"/>
                <w:color w:val="000000"/>
              </w:rPr>
              <w:t>If a</w:t>
            </w:r>
            <w:r w:rsidR="00F278E5" w:rsidRPr="00606B35">
              <w:rPr>
                <w:rFonts w:cstheme="minorHAnsi"/>
                <w:color w:val="000000"/>
              </w:rPr>
              <w:t xml:space="preserve"> </w:t>
            </w:r>
            <w:r w:rsidRPr="00606B35">
              <w:rPr>
                <w:rFonts w:cstheme="minorHAnsi"/>
                <w:color w:val="000000"/>
              </w:rPr>
              <w:t>health</w:t>
            </w:r>
            <w:r w:rsidR="0032120E" w:rsidRPr="00606B35">
              <w:rPr>
                <w:rFonts w:cstheme="minorHAnsi"/>
                <w:color w:val="000000"/>
              </w:rPr>
              <w:t xml:space="preserve"> </w:t>
            </w:r>
            <w:r w:rsidRPr="00606B35">
              <w:rPr>
                <w:rFonts w:cstheme="minorHAnsi"/>
                <w:color w:val="000000"/>
              </w:rPr>
              <w:t>care provider</w:t>
            </w:r>
            <w:r w:rsidR="00F278E5" w:rsidRPr="00606B35">
              <w:rPr>
                <w:rFonts w:cstheme="minorHAnsi"/>
                <w:color w:val="000000"/>
              </w:rPr>
              <w:t xml:space="preserve"> is</w:t>
            </w:r>
            <w:r w:rsidRPr="00606B35">
              <w:rPr>
                <w:rFonts w:cstheme="minorHAnsi"/>
                <w:color w:val="000000"/>
              </w:rPr>
              <w:t xml:space="preserve"> assist</w:t>
            </w:r>
            <w:r w:rsidR="00F278E5" w:rsidRPr="00606B35">
              <w:rPr>
                <w:rFonts w:cstheme="minorHAnsi"/>
                <w:color w:val="000000"/>
              </w:rPr>
              <w:t>ing you</w:t>
            </w:r>
            <w:r w:rsidRPr="00606B35">
              <w:rPr>
                <w:rFonts w:cstheme="minorHAnsi"/>
                <w:color w:val="000000"/>
              </w:rPr>
              <w:t xml:space="preserve">, </w:t>
            </w:r>
            <w:r w:rsidR="00F3331B" w:rsidRPr="00606B35">
              <w:rPr>
                <w:rFonts w:cstheme="minorHAnsi"/>
                <w:color w:val="000000"/>
              </w:rPr>
              <w:t>you</w:t>
            </w:r>
            <w:r w:rsidRPr="00606B35">
              <w:rPr>
                <w:rFonts w:cstheme="minorHAnsi"/>
                <w:color w:val="000000"/>
              </w:rPr>
              <w:t xml:space="preserve"> should be in a reclining position.</w:t>
            </w:r>
          </w:p>
          <w:p w14:paraId="5BF2A407" w14:textId="77777777"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With clean hands, squeeze the ring between the thumb and forefinger, pressing both sides of the ring together so that the ring forms a “figure 8” shape</w:t>
            </w:r>
            <w:r w:rsidRPr="00606B35">
              <w:rPr>
                <w:rFonts w:eastAsia="Arial" w:cstheme="minorHAnsi"/>
                <w:color w:val="000000"/>
              </w:rPr>
              <w:t>.</w:t>
            </w:r>
          </w:p>
          <w:p w14:paraId="068B949C" w14:textId="65F69FE3"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Us</w:t>
            </w:r>
            <w:r w:rsidR="001368D1" w:rsidRPr="00606B35">
              <w:rPr>
                <w:rFonts w:cstheme="minorHAnsi"/>
                <w:color w:val="000000"/>
              </w:rPr>
              <w:t>e</w:t>
            </w:r>
            <w:r w:rsidRPr="00606B35">
              <w:rPr>
                <w:rFonts w:cstheme="minorHAnsi"/>
                <w:color w:val="000000"/>
              </w:rPr>
              <w:t xml:space="preserve"> the other hand to open the folds of skin around the vagina.</w:t>
            </w:r>
          </w:p>
          <w:p w14:paraId="33D0E603" w14:textId="05230AC7"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 xml:space="preserve">Place the tip of the ring into the vaginal opening and use </w:t>
            </w:r>
            <w:r w:rsidR="00A6589A" w:rsidRPr="00606B35">
              <w:rPr>
                <w:rFonts w:cstheme="minorHAnsi"/>
                <w:color w:val="000000"/>
              </w:rPr>
              <w:t xml:space="preserve">your </w:t>
            </w:r>
            <w:r w:rsidRPr="00606B35">
              <w:rPr>
                <w:rFonts w:cstheme="minorHAnsi"/>
                <w:color w:val="000000"/>
              </w:rPr>
              <w:t>fingers to push the folded ring gently up into the vagina.</w:t>
            </w:r>
          </w:p>
          <w:p w14:paraId="679ED67B" w14:textId="1930373E"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Push the ring as far toward the lower back as possible. If the ring feels uncomfortable, it is probably not inserted far enough into the vagina. Use a finger to push it as far up into the vagina as is comfortable.</w:t>
            </w:r>
            <w:r w:rsidRPr="00606B35">
              <w:rPr>
                <w:rFonts w:cstheme="minorHAnsi"/>
                <w:noProof/>
                <w:color w:val="000000"/>
              </w:rPr>
              <w:t xml:space="preserve"> </w:t>
            </w:r>
          </w:p>
          <w:p w14:paraId="3E4CCACF" w14:textId="652BECDE" w:rsidR="004C5979" w:rsidRPr="00606B35" w:rsidRDefault="00DD1E57" w:rsidP="00DD508F">
            <w:pPr>
              <w:spacing w:after="120"/>
              <w:rPr>
                <w:rFonts w:cstheme="minorHAnsi"/>
                <w:i/>
                <w:iCs/>
                <w:color w:val="000000"/>
              </w:rPr>
            </w:pPr>
            <w:r w:rsidRPr="00606B35">
              <w:rPr>
                <w:rFonts w:cstheme="minorHAnsi"/>
                <w:color w:val="000000"/>
              </w:rPr>
              <w:t>*</w:t>
            </w:r>
            <w:r w:rsidRPr="00606B35">
              <w:rPr>
                <w:rFonts w:cstheme="minorHAnsi"/>
                <w:i/>
                <w:iCs/>
                <w:color w:val="000000"/>
              </w:rPr>
              <w:t xml:space="preserve">Ring insertion should be painless. If </w:t>
            </w:r>
            <w:r w:rsidR="00E06B2B" w:rsidRPr="00606B35">
              <w:rPr>
                <w:rFonts w:cstheme="minorHAnsi"/>
                <w:i/>
                <w:iCs/>
                <w:color w:val="000000"/>
              </w:rPr>
              <w:t>you</w:t>
            </w:r>
            <w:r w:rsidRPr="00606B35">
              <w:rPr>
                <w:rFonts w:cstheme="minorHAnsi"/>
                <w:i/>
                <w:iCs/>
                <w:color w:val="000000"/>
              </w:rPr>
              <w:t xml:space="preserve"> ha</w:t>
            </w:r>
            <w:r w:rsidR="00E06B2B" w:rsidRPr="00606B35">
              <w:rPr>
                <w:rFonts w:cstheme="minorHAnsi"/>
                <w:i/>
                <w:iCs/>
                <w:color w:val="000000"/>
              </w:rPr>
              <w:t>ve</w:t>
            </w:r>
            <w:r w:rsidRPr="00606B35">
              <w:rPr>
                <w:rFonts w:cstheme="minorHAnsi"/>
                <w:i/>
                <w:iCs/>
                <w:color w:val="000000"/>
              </w:rPr>
              <w:t xml:space="preserve"> any bleeding or discomfort upon insertion, contact </w:t>
            </w:r>
            <w:r w:rsidR="00E06B2B" w:rsidRPr="00606B35">
              <w:rPr>
                <w:rFonts w:cstheme="minorHAnsi"/>
                <w:i/>
                <w:iCs/>
                <w:color w:val="000000"/>
              </w:rPr>
              <w:t>you</w:t>
            </w:r>
            <w:r w:rsidRPr="00606B35">
              <w:rPr>
                <w:rFonts w:cstheme="minorHAnsi"/>
                <w:i/>
                <w:iCs/>
                <w:color w:val="000000"/>
              </w:rPr>
              <w:t>r health</w:t>
            </w:r>
            <w:r w:rsidR="00E06B2B" w:rsidRPr="00606B35">
              <w:rPr>
                <w:rFonts w:cstheme="minorHAnsi"/>
                <w:i/>
                <w:iCs/>
                <w:color w:val="000000"/>
              </w:rPr>
              <w:t xml:space="preserve"> </w:t>
            </w:r>
            <w:r w:rsidRPr="00606B35">
              <w:rPr>
                <w:rFonts w:cstheme="minorHAnsi"/>
                <w:i/>
                <w:iCs/>
                <w:color w:val="000000"/>
              </w:rPr>
              <w:t>care provider.</w:t>
            </w:r>
          </w:p>
          <w:p w14:paraId="66CD72BA" w14:textId="1D202BB4" w:rsidR="00DD1E57" w:rsidRPr="00606B35" w:rsidRDefault="004C5979" w:rsidP="00DD508F">
            <w:pPr>
              <w:spacing w:after="120"/>
              <w:rPr>
                <w:rFonts w:cstheme="minorHAnsi"/>
              </w:rPr>
            </w:pPr>
            <w:r w:rsidRPr="00606B35">
              <w:rPr>
                <w:rFonts w:cstheme="minorHAnsi"/>
                <w:noProof/>
              </w:rPr>
              <mc:AlternateContent>
                <mc:Choice Requires="wps">
                  <w:drawing>
                    <wp:anchor distT="0" distB="0" distL="114300" distR="114300" simplePos="0" relativeHeight="251654656"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063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358.2pt;margin-top:40pt;width:27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606B35">
              <w:rPr>
                <w:rFonts w:cstheme="minorHAnsi"/>
                <w:noProof/>
              </w:rPr>
              <mc:AlternateContent>
                <mc:Choice Requires="wps">
                  <w:drawing>
                    <wp:anchor distT="0" distB="0" distL="114300" distR="114300" simplePos="0" relativeHeight="25165363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F464" id="Arrow: Right 16" o:spid="_x0000_s1026" type="#_x0000_t13" style="position:absolute;margin-left:240.45pt;margin-top:37.75pt;width:27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606B35">
              <w:rPr>
                <w:rFonts w:cstheme="minorHAnsi"/>
                <w:noProof/>
              </w:rPr>
              <mc:AlternateContent>
                <mc:Choice Requires="wps">
                  <w:drawing>
                    <wp:anchor distT="0" distB="0" distL="114300" distR="114300" simplePos="0" relativeHeight="251652608"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9F48" id="Arrow: Right 14" o:spid="_x0000_s1026" type="#_x0000_t13" style="position:absolute;margin-left:122.7pt;margin-top:35.65pt;width:27pt;height: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606B35">
              <w:rPr>
                <w:rFonts w:cstheme="minorHAnsi"/>
                <w:noProof/>
              </w:rPr>
              <w:drawing>
                <wp:anchor distT="0" distB="0" distL="114300" distR="114300" simplePos="0" relativeHeight="251659776"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60800"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1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61824"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62848"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606B35" w:rsidRDefault="00DD1E57" w:rsidP="00DD508F">
            <w:pPr>
              <w:spacing w:after="120"/>
              <w:rPr>
                <w:rFonts w:cstheme="minorHAnsi"/>
              </w:rPr>
            </w:pPr>
          </w:p>
          <w:p w14:paraId="772C80EF" w14:textId="77777777" w:rsidR="00DD1E57" w:rsidRPr="00606B35" w:rsidRDefault="00DD1E57" w:rsidP="00DD508F">
            <w:pPr>
              <w:spacing w:after="120"/>
              <w:rPr>
                <w:rFonts w:cstheme="minorHAnsi"/>
              </w:rPr>
            </w:pPr>
          </w:p>
          <w:p w14:paraId="015B480A" w14:textId="77777777" w:rsidR="00DD1E57" w:rsidRPr="00606B35" w:rsidRDefault="00DD1E57" w:rsidP="00DD508F">
            <w:pPr>
              <w:spacing w:after="120"/>
              <w:rPr>
                <w:rFonts w:cstheme="minorHAnsi"/>
              </w:rPr>
            </w:pPr>
          </w:p>
          <w:p w14:paraId="25E75AD0" w14:textId="77777777" w:rsidR="00DD1E57" w:rsidRPr="00606B35" w:rsidRDefault="00DD1E57" w:rsidP="00DD508F">
            <w:pPr>
              <w:spacing w:after="120"/>
              <w:rPr>
                <w:rFonts w:cstheme="minorHAnsi"/>
              </w:rPr>
            </w:pPr>
          </w:p>
          <w:p w14:paraId="18E57796" w14:textId="40AE244A" w:rsidR="00DD1E57" w:rsidRPr="00606B35" w:rsidRDefault="00DD1E57" w:rsidP="00DD508F">
            <w:pPr>
              <w:spacing w:after="120"/>
              <w:jc w:val="center"/>
              <w:rPr>
                <w:rFonts w:cstheme="minorHAnsi"/>
                <w:color w:val="000000"/>
              </w:rPr>
            </w:pPr>
            <w:r w:rsidRPr="00606B35">
              <w:rPr>
                <w:rFonts w:cstheme="minorHAnsi"/>
                <w:b/>
                <w:bCs/>
              </w:rPr>
              <w:t>1                                             2                                              3                                               4</w:t>
            </w:r>
          </w:p>
        </w:tc>
      </w:tr>
    </w:tbl>
    <w:p w14:paraId="78DA31FB" w14:textId="6A64A132" w:rsidR="00DD1E57" w:rsidRPr="00606B35" w:rsidRDefault="00DD1E57" w:rsidP="00717D04">
      <w:pPr>
        <w:pStyle w:val="Heading4"/>
        <w:spacing w:before="240" w:after="120" w:line="240" w:lineRule="auto"/>
        <w:rPr>
          <w:rFonts w:asciiTheme="minorHAnsi" w:hAnsiTheme="minorHAnsi" w:cstheme="minorBidi"/>
          <w:i w:val="0"/>
        </w:rPr>
      </w:pPr>
      <w:bookmarkStart w:id="27" w:name="_Toc182989107"/>
      <w:r w:rsidRPr="0294A27B">
        <w:rPr>
          <w:rFonts w:asciiTheme="minorHAnsi" w:hAnsiTheme="minorHAnsi" w:cstheme="minorBidi"/>
          <w:i w:val="0"/>
        </w:rPr>
        <w:t>Removing the PrEP Ring</w:t>
      </w:r>
      <w:bookmarkEnd w:id="27"/>
    </w:p>
    <w:p w14:paraId="2B09287E" w14:textId="734F8FD4" w:rsidR="00411551" w:rsidRDefault="00DD1E57" w:rsidP="00DD508F">
      <w:pPr>
        <w:spacing w:after="120" w:line="240" w:lineRule="auto"/>
        <w:rPr>
          <w:rFonts w:cstheme="minorHAnsi"/>
          <w:color w:val="000000" w:themeColor="text1"/>
        </w:rPr>
      </w:pPr>
      <w:r w:rsidRPr="00606B35">
        <w:rPr>
          <w:rFonts w:cstheme="minorHAnsi"/>
          <w:color w:val="000000"/>
        </w:rPr>
        <w:t>Clients can remove the ring without the help of a health</w:t>
      </w:r>
      <w:r w:rsidR="00E06B2B" w:rsidRPr="00606B35">
        <w:rPr>
          <w:rFonts w:cstheme="minorHAnsi"/>
          <w:color w:val="000000"/>
        </w:rPr>
        <w:t xml:space="preserve"> </w:t>
      </w:r>
      <w:r w:rsidRPr="00606B35">
        <w:rPr>
          <w:rFonts w:cstheme="minorHAnsi"/>
          <w:color w:val="000000"/>
        </w:rPr>
        <w:t>care provider. However, for clients who prefer</w:t>
      </w:r>
      <w:r w:rsidR="00E06B2B" w:rsidRPr="00606B35">
        <w:rPr>
          <w:rFonts w:cstheme="minorHAnsi"/>
          <w:color w:val="000000"/>
        </w:rPr>
        <w:t xml:space="preserve"> support</w:t>
      </w:r>
      <w:r w:rsidRPr="00606B35">
        <w:rPr>
          <w:rFonts w:cstheme="minorHAnsi"/>
          <w:color w:val="000000"/>
        </w:rPr>
        <w:t>, a health</w:t>
      </w:r>
      <w:r w:rsidR="004D2E71" w:rsidRPr="00606B35">
        <w:rPr>
          <w:rFonts w:cstheme="minorHAnsi"/>
          <w:color w:val="000000"/>
        </w:rPr>
        <w:t xml:space="preserve"> </w:t>
      </w:r>
      <w:r w:rsidRPr="00606B35">
        <w:rPr>
          <w:rFonts w:cstheme="minorHAnsi"/>
          <w:color w:val="000000"/>
        </w:rPr>
        <w:t xml:space="preserve">care provider can help remove the ring. </w:t>
      </w:r>
      <w:r w:rsidR="0025765E" w:rsidRPr="00606B35">
        <w:rPr>
          <w:rFonts w:cstheme="minorHAnsi"/>
          <w:color w:val="000000"/>
        </w:rPr>
        <w:t xml:space="preserve">The </w:t>
      </w:r>
      <w:r w:rsidR="0025765E" w:rsidRPr="00606B35">
        <w:rPr>
          <w:rFonts w:cstheme="minorHAnsi"/>
          <w:color w:val="000000" w:themeColor="text1"/>
        </w:rPr>
        <w:t>r</w:t>
      </w:r>
      <w:r w:rsidR="005F588E" w:rsidRPr="00606B35">
        <w:rPr>
          <w:rFonts w:cstheme="minorHAnsi"/>
          <w:color w:val="000000" w:themeColor="text1"/>
        </w:rPr>
        <w:t xml:space="preserve">ing </w:t>
      </w:r>
      <w:r w:rsidR="0025765E" w:rsidRPr="00606B35">
        <w:rPr>
          <w:rFonts w:cstheme="minorHAnsi"/>
          <w:color w:val="000000" w:themeColor="text1"/>
        </w:rPr>
        <w:t xml:space="preserve">is removed by hand; there is no need to use a speculum or other tools to remove </w:t>
      </w:r>
      <w:r w:rsidR="0018211B">
        <w:rPr>
          <w:rFonts w:cstheme="minorHAnsi"/>
          <w:color w:val="000000" w:themeColor="text1"/>
        </w:rPr>
        <w:t>i</w:t>
      </w:r>
      <w:r w:rsidR="0025765E" w:rsidRPr="00606B35">
        <w:rPr>
          <w:rFonts w:cstheme="minorHAnsi"/>
          <w:color w:val="000000" w:themeColor="text1"/>
        </w:rPr>
        <w:t>t</w:t>
      </w:r>
      <w:r w:rsidR="005F588E" w:rsidRPr="00606B35">
        <w:rPr>
          <w:rFonts w:cstheme="minorHAnsi"/>
          <w:color w:val="000000" w:themeColor="text1"/>
        </w:rPr>
        <w:t xml:space="preserve">. </w:t>
      </w:r>
      <w:r w:rsidR="00A7555C" w:rsidRPr="00606B35">
        <w:rPr>
          <w:rFonts w:cstheme="minorHAnsi"/>
          <w:color w:val="000000"/>
        </w:rPr>
        <w:t>If a client is being assisted by a health</w:t>
      </w:r>
      <w:r w:rsidR="00E06B2B" w:rsidRPr="00606B35">
        <w:rPr>
          <w:rFonts w:cstheme="minorHAnsi"/>
          <w:color w:val="000000"/>
        </w:rPr>
        <w:t xml:space="preserve"> </w:t>
      </w:r>
      <w:r w:rsidR="00A7555C" w:rsidRPr="00606B35">
        <w:rPr>
          <w:rFonts w:cstheme="minorHAnsi"/>
          <w:color w:val="000000"/>
        </w:rPr>
        <w:t>care provider, they should be in a reclining position during removal.</w:t>
      </w:r>
      <w:r w:rsidR="00D27C06" w:rsidRPr="00606B35">
        <w:rPr>
          <w:rFonts w:cstheme="minorHAnsi"/>
          <w:color w:val="000000"/>
        </w:rPr>
        <w:t xml:space="preserve"> </w:t>
      </w:r>
      <w:r w:rsidR="00D27C06" w:rsidRPr="00606B35">
        <w:rPr>
          <w:rFonts w:cstheme="minorHAnsi"/>
          <w:color w:val="000000" w:themeColor="text1"/>
        </w:rPr>
        <w:t>Ring removal steps for client</w:t>
      </w:r>
      <w:r w:rsidR="00E06B2B" w:rsidRPr="00606B35">
        <w:rPr>
          <w:rFonts w:cstheme="minorHAnsi"/>
          <w:color w:val="000000" w:themeColor="text1"/>
        </w:rPr>
        <w:t>s</w:t>
      </w:r>
      <w:r w:rsidR="00D27C06" w:rsidRPr="00606B35">
        <w:rPr>
          <w:rFonts w:cstheme="minorHAnsi"/>
          <w:color w:val="000000" w:themeColor="text1"/>
        </w:rPr>
        <w:t xml:space="preserve"> are </w:t>
      </w:r>
      <w:r w:rsidR="00E06B2B" w:rsidRPr="00606B35">
        <w:rPr>
          <w:rFonts w:cstheme="minorHAnsi"/>
          <w:color w:val="000000" w:themeColor="text1"/>
        </w:rPr>
        <w:t xml:space="preserve">listed </w:t>
      </w:r>
      <w:r w:rsidR="00D27C06" w:rsidRPr="00606B35">
        <w:rPr>
          <w:rFonts w:cstheme="minorHAnsi"/>
          <w:color w:val="000000" w:themeColor="text1"/>
        </w:rPr>
        <w:t>in Box 3.</w:t>
      </w:r>
    </w:p>
    <w:p w14:paraId="48F38CF7" w14:textId="77777777" w:rsidR="005A6861" w:rsidRPr="00606B35" w:rsidRDefault="005A6861" w:rsidP="00DD508F">
      <w:pPr>
        <w:spacing w:after="120" w:line="240" w:lineRule="auto"/>
        <w:rPr>
          <w:rFonts w:cstheme="minorHAnsi"/>
          <w:color w:val="000000" w:themeColor="text1"/>
        </w:rPr>
      </w:pPr>
    </w:p>
    <w:tbl>
      <w:tblPr>
        <w:tblW w:w="0" w:type="auto"/>
        <w:tblLook w:val="04A0" w:firstRow="1" w:lastRow="0" w:firstColumn="1" w:lastColumn="0" w:noHBand="0" w:noVBand="1"/>
      </w:tblPr>
      <w:tblGrid>
        <w:gridCol w:w="10456"/>
      </w:tblGrid>
      <w:tr w:rsidR="00A7555C" w:rsidRPr="00606B35" w14:paraId="117B9E33" w14:textId="77777777" w:rsidTr="00A7555C">
        <w:tc>
          <w:tcPr>
            <w:tcW w:w="10456" w:type="dxa"/>
            <w:shd w:val="clear" w:color="auto" w:fill="D9E2F3" w:themeFill="accent1" w:themeFillTint="33"/>
          </w:tcPr>
          <w:p w14:paraId="59D95422" w14:textId="2DBDD1E8" w:rsidR="00A7555C" w:rsidRPr="00606B35" w:rsidRDefault="00D27C06" w:rsidP="00DD508F">
            <w:pPr>
              <w:spacing w:after="120"/>
              <w:rPr>
                <w:rFonts w:cstheme="minorHAnsi"/>
                <w:b/>
              </w:rPr>
            </w:pPr>
            <w:r w:rsidRPr="00606B35">
              <w:rPr>
                <w:rFonts w:cstheme="minorHAnsi"/>
                <w:b/>
              </w:rPr>
              <w:lastRenderedPageBreak/>
              <w:t>Box 3</w:t>
            </w:r>
            <w:r w:rsidR="00EE566C">
              <w:rPr>
                <w:rFonts w:cstheme="minorHAnsi"/>
                <w:b/>
              </w:rPr>
              <w:t>.</w:t>
            </w:r>
            <w:r w:rsidRPr="00606B35">
              <w:rPr>
                <w:rFonts w:cstheme="minorHAnsi"/>
                <w:b/>
              </w:rPr>
              <w:t xml:space="preserve"> </w:t>
            </w:r>
            <w:r w:rsidR="00A7555C" w:rsidRPr="00606B35">
              <w:rPr>
                <w:rFonts w:cstheme="minorHAnsi"/>
                <w:b/>
              </w:rPr>
              <w:t>Ring removal steps for client</w:t>
            </w:r>
            <w:r w:rsidR="00381C20" w:rsidRPr="00606B35">
              <w:rPr>
                <w:rFonts w:cstheme="minorHAnsi"/>
                <w:b/>
              </w:rPr>
              <w:t>s</w:t>
            </w:r>
          </w:p>
          <w:p w14:paraId="017D7D3D" w14:textId="23029F17"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 xml:space="preserve">Get into a position that is comfortable for removing the ring, such as squatting, </w:t>
            </w:r>
            <w:r w:rsidR="008902CD">
              <w:rPr>
                <w:rFonts w:cstheme="minorHAnsi"/>
                <w:color w:val="000000"/>
              </w:rPr>
              <w:t xml:space="preserve">lifting </w:t>
            </w:r>
            <w:r w:rsidRPr="00606B35">
              <w:rPr>
                <w:rFonts w:cstheme="minorHAnsi"/>
                <w:color w:val="000000"/>
              </w:rPr>
              <w:t xml:space="preserve">one leg, or lying down. </w:t>
            </w:r>
          </w:p>
          <w:p w14:paraId="463A3B51" w14:textId="27330724"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With clean hands, insert one finger into the vagina and</w:t>
            </w:r>
            <w:r w:rsidR="009B2546">
              <w:rPr>
                <w:rFonts w:cstheme="minorHAnsi"/>
                <w:color w:val="000000"/>
              </w:rPr>
              <w:t xml:space="preserve"> </w:t>
            </w:r>
            <w:r w:rsidRPr="00606B35">
              <w:rPr>
                <w:rFonts w:cstheme="minorHAnsi"/>
                <w:color w:val="000000"/>
              </w:rPr>
              <w:t>hook it around the edge of the ring.</w:t>
            </w:r>
          </w:p>
          <w:p w14:paraId="4E5F5115" w14:textId="302B55CD"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Gently pull the ring out of the vagina</w:t>
            </w:r>
            <w:r w:rsidRPr="00606B35">
              <w:rPr>
                <w:rFonts w:eastAsia="Arial" w:cstheme="minorHAnsi"/>
                <w:color w:val="000000"/>
              </w:rPr>
              <w:t>.</w:t>
            </w:r>
          </w:p>
          <w:p w14:paraId="253E36D9" w14:textId="48B96857" w:rsidR="00A7555C" w:rsidRPr="00606B35" w:rsidRDefault="00A7555C" w:rsidP="00DD508F">
            <w:pPr>
              <w:spacing w:after="120"/>
              <w:rPr>
                <w:rFonts w:cstheme="minorHAnsi"/>
                <w:noProof/>
                <w:color w:val="000000"/>
              </w:rPr>
            </w:pPr>
            <w:r w:rsidRPr="00606B35">
              <w:rPr>
                <w:rFonts w:cstheme="minorHAnsi"/>
                <w:color w:val="000000"/>
              </w:rPr>
              <w:t>*</w:t>
            </w:r>
            <w:r w:rsidRPr="00606B35">
              <w:rPr>
                <w:rFonts w:cstheme="minorHAnsi"/>
                <w:i/>
                <w:iCs/>
                <w:color w:val="000000"/>
              </w:rPr>
              <w:t xml:space="preserve">Ring removal should be painless. If </w:t>
            </w:r>
            <w:r w:rsidR="00CF571B" w:rsidRPr="00606B35">
              <w:rPr>
                <w:rFonts w:cstheme="minorHAnsi"/>
                <w:i/>
                <w:iCs/>
                <w:color w:val="000000"/>
              </w:rPr>
              <w:t>you</w:t>
            </w:r>
            <w:r w:rsidRPr="00606B35">
              <w:rPr>
                <w:rFonts w:cstheme="minorHAnsi"/>
                <w:i/>
                <w:iCs/>
                <w:color w:val="000000"/>
              </w:rPr>
              <w:t xml:space="preserve"> ha</w:t>
            </w:r>
            <w:r w:rsidR="00CF571B" w:rsidRPr="00606B35">
              <w:rPr>
                <w:rFonts w:cstheme="minorHAnsi"/>
                <w:i/>
                <w:iCs/>
                <w:color w:val="000000"/>
              </w:rPr>
              <w:t>ve</w:t>
            </w:r>
            <w:r w:rsidRPr="00606B35">
              <w:rPr>
                <w:rFonts w:cstheme="minorHAnsi"/>
                <w:i/>
                <w:iCs/>
                <w:color w:val="000000"/>
              </w:rPr>
              <w:t xml:space="preserve"> any bleeding or discomfort upon removal, contact </w:t>
            </w:r>
            <w:r w:rsidR="00CF571B" w:rsidRPr="00606B35">
              <w:rPr>
                <w:rFonts w:cstheme="minorHAnsi"/>
                <w:i/>
                <w:iCs/>
                <w:color w:val="000000"/>
              </w:rPr>
              <w:t>you</w:t>
            </w:r>
            <w:r w:rsidRPr="00606B35">
              <w:rPr>
                <w:rFonts w:cstheme="minorHAnsi"/>
                <w:i/>
                <w:iCs/>
                <w:color w:val="000000"/>
              </w:rPr>
              <w:t>r health</w:t>
            </w:r>
            <w:r w:rsidR="00CF571B" w:rsidRPr="00606B35">
              <w:rPr>
                <w:rFonts w:cstheme="minorHAnsi"/>
                <w:i/>
                <w:iCs/>
                <w:color w:val="000000"/>
              </w:rPr>
              <w:t xml:space="preserve"> </w:t>
            </w:r>
            <w:r w:rsidRPr="00606B35">
              <w:rPr>
                <w:rFonts w:cstheme="minorHAnsi"/>
                <w:i/>
                <w:iCs/>
                <w:color w:val="000000"/>
              </w:rPr>
              <w:t>care provider</w:t>
            </w:r>
            <w:r w:rsidRPr="00606B35">
              <w:rPr>
                <w:rFonts w:cstheme="minorHAnsi"/>
                <w:color w:val="000000"/>
              </w:rPr>
              <w:t>.</w:t>
            </w:r>
            <w:r w:rsidRPr="00606B35">
              <w:rPr>
                <w:rFonts w:cstheme="minorHAnsi"/>
                <w:noProof/>
                <w:color w:val="000000"/>
              </w:rPr>
              <w:t xml:space="preserve"> </w:t>
            </w:r>
          </w:p>
          <w:p w14:paraId="5ECAE092" w14:textId="54FCB4D4" w:rsidR="00A7555C" w:rsidRPr="00606B35" w:rsidRDefault="00897915" w:rsidP="00DD508F">
            <w:pPr>
              <w:spacing w:after="120"/>
              <w:rPr>
                <w:rFonts w:cstheme="minorHAnsi"/>
                <w:noProof/>
                <w:color w:val="000000"/>
              </w:rPr>
            </w:pPr>
            <w:r w:rsidRPr="00606B35">
              <w:rPr>
                <w:rFonts w:cstheme="minorHAnsi"/>
                <w:noProof/>
              </w:rPr>
              <w:drawing>
                <wp:anchor distT="0" distB="0" distL="114300" distR="114300" simplePos="0" relativeHeight="251658752"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2"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55C" w:rsidRPr="00606B35">
              <w:rPr>
                <w:rFonts w:cstheme="minorHAnsi"/>
                <w:noProof/>
              </w:rPr>
              <mc:AlternateContent>
                <mc:Choice Requires="wps">
                  <w:drawing>
                    <wp:anchor distT="0" distB="0" distL="114300" distR="114300" simplePos="0" relativeHeight="251656704"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2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3F75" id="Arrow: Right 20" o:spid="_x0000_s1026" type="#_x0000_t13" style="position:absolute;margin-left:146.75pt;margin-top:39.05pt;width:27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00A7555C" w:rsidRPr="00606B35">
              <w:rPr>
                <w:rFonts w:cstheme="minorHAnsi"/>
                <w:noProof/>
              </w:rPr>
              <w:drawing>
                <wp:anchor distT="0" distB="0" distL="114300" distR="114300" simplePos="0" relativeHeight="25166387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2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55C" w:rsidRPr="00606B35">
              <w:rPr>
                <w:rFonts w:cstheme="minorHAnsi"/>
                <w:noProof/>
              </w:rPr>
              <mc:AlternateContent>
                <mc:Choice Requires="wps">
                  <w:drawing>
                    <wp:anchor distT="0" distB="0" distL="114300" distR="114300" simplePos="0" relativeHeight="251657728"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9BC6" id="Arrow: Right 19" o:spid="_x0000_s1026" type="#_x0000_t13" style="position:absolute;margin-left:263.75pt;margin-top:41.15pt;width:27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00A7555C" w:rsidRPr="00606B35">
              <w:rPr>
                <w:rFonts w:cstheme="minorHAnsi"/>
                <w:noProof/>
              </w:rPr>
              <w:drawing>
                <wp:anchor distT="0" distB="0" distL="114300" distR="114300" simplePos="0" relativeHeight="251664896"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606B35" w:rsidRDefault="00A7555C" w:rsidP="00DD508F">
            <w:pPr>
              <w:spacing w:after="120"/>
              <w:rPr>
                <w:rFonts w:cstheme="minorHAnsi"/>
                <w:noProof/>
                <w:color w:val="000000"/>
              </w:rPr>
            </w:pPr>
            <w:r w:rsidRPr="00606B35">
              <w:rPr>
                <w:rFonts w:cstheme="minorHAnsi"/>
                <w:noProof/>
                <w:color w:val="000000"/>
              </w:rPr>
              <mc:AlternateContent>
                <mc:Choice Requires="wps">
                  <w:drawing>
                    <wp:anchor distT="0" distB="0" distL="114300" distR="114300" simplePos="0" relativeHeight="251655680"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3"/>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647"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04AAE" id="Oval 3" o:spid="_x0000_s1027" style="position:absolute;margin-left:184.35pt;margin-top:.65pt;width:67.3pt;height:6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filled="f" strokecolor="#525252 [1606]" strokeweight="1.5pt">
                      <v:stroke joinstyle="miter"/>
                      <v:textbox>
                        <w:txbxContent>
                          <w:p w14:paraId="4E70D647" w14:textId="77777777" w:rsidR="00A7555C" w:rsidRDefault="00A7555C" w:rsidP="00A7555C">
                            <w:pPr>
                              <w:jc w:val="center"/>
                            </w:pPr>
                          </w:p>
                        </w:txbxContent>
                      </v:textbox>
                    </v:oval>
                  </w:pict>
                </mc:Fallback>
              </mc:AlternateContent>
            </w:r>
          </w:p>
          <w:p w14:paraId="76EECEEB" w14:textId="5CAEB134" w:rsidR="00A7555C" w:rsidRPr="00606B35" w:rsidRDefault="00A7555C" w:rsidP="00DD508F">
            <w:pPr>
              <w:spacing w:after="120"/>
              <w:rPr>
                <w:rFonts w:cstheme="minorHAnsi"/>
                <w:noProof/>
                <w:color w:val="000000"/>
              </w:rPr>
            </w:pPr>
          </w:p>
          <w:p w14:paraId="42850EEC" w14:textId="1AEF6E91" w:rsidR="00A7555C" w:rsidRPr="00606B35" w:rsidRDefault="00A7555C" w:rsidP="00DD508F">
            <w:pPr>
              <w:spacing w:after="120"/>
              <w:rPr>
                <w:rFonts w:cstheme="minorHAnsi"/>
                <w:noProof/>
                <w:color w:val="000000"/>
              </w:rPr>
            </w:pPr>
          </w:p>
          <w:p w14:paraId="532E6503" w14:textId="77777777" w:rsidR="00A7555C" w:rsidRPr="00606B35" w:rsidRDefault="00A7555C" w:rsidP="00DD508F">
            <w:pPr>
              <w:spacing w:after="120"/>
              <w:rPr>
                <w:rFonts w:cstheme="minorHAnsi"/>
                <w:noProof/>
                <w:color w:val="000000"/>
              </w:rPr>
            </w:pPr>
          </w:p>
          <w:p w14:paraId="066FFE4E" w14:textId="6D68FA0D" w:rsidR="00A7555C" w:rsidRPr="00606B35" w:rsidRDefault="00A7555C" w:rsidP="00DD508F">
            <w:pPr>
              <w:spacing w:after="120"/>
              <w:rPr>
                <w:rFonts w:cstheme="minorHAnsi"/>
                <w:b/>
                <w:bCs/>
              </w:rPr>
            </w:pPr>
            <w:r w:rsidRPr="00606B35">
              <w:rPr>
                <w:rFonts w:cstheme="minorHAnsi"/>
              </w:rPr>
              <w:t xml:space="preserve">                                       </w:t>
            </w:r>
            <w:r w:rsidRPr="00606B35">
              <w:rPr>
                <w:rFonts w:cstheme="minorHAnsi"/>
                <w:b/>
                <w:bCs/>
              </w:rPr>
              <w:t xml:space="preserve">1                                             2                                              3                 </w:t>
            </w:r>
          </w:p>
        </w:tc>
      </w:tr>
      <w:bookmarkEnd w:id="24"/>
    </w:tbl>
    <w:p w14:paraId="0C65F7B5" w14:textId="77777777" w:rsidR="52CC4247" w:rsidRDefault="52CC4247" w:rsidP="007B158F">
      <w:pPr>
        <w:pStyle w:val="Heading2"/>
      </w:pPr>
    </w:p>
    <w:p w14:paraId="7F4733ED" w14:textId="32EB6A9E" w:rsidR="008E5D37" w:rsidRPr="00B25741" w:rsidRDefault="007B158F" w:rsidP="007B158F">
      <w:pPr>
        <w:pStyle w:val="Heading2"/>
        <w:rPr>
          <w:rFonts w:asciiTheme="minorHAnsi" w:hAnsiTheme="minorHAnsi" w:cstheme="minorHAnsi"/>
        </w:rPr>
      </w:pPr>
      <w:bookmarkStart w:id="28" w:name="_Toc182989108"/>
      <w:r w:rsidRPr="00B25741">
        <w:rPr>
          <w:rFonts w:asciiTheme="minorHAnsi" w:hAnsiTheme="minorHAnsi" w:cstheme="minorHAnsi"/>
        </w:rPr>
        <w:t>Overview of CAB PrEP</w:t>
      </w:r>
      <w:bookmarkEnd w:id="28"/>
    </w:p>
    <w:p w14:paraId="3C0B8127" w14:textId="09325131" w:rsidR="000434B3" w:rsidRDefault="34151F09" w:rsidP="000434B3">
      <w:r>
        <w:t>CAB PrEP is a long-acting PrEP method containing 600 mg of cabotegravir extended-release injectable suspension. It is an intramuscular injection injected into the gluteal muscle</w:t>
      </w:r>
      <w:r w:rsidR="4D9C383F">
        <w:t xml:space="preserve">. </w:t>
      </w:r>
      <w:r w:rsidR="00B515E8">
        <w:t xml:space="preserve">CAB PrEP should be injected </w:t>
      </w:r>
      <w:r w:rsidR="007255AD">
        <w:t xml:space="preserve">only </w:t>
      </w:r>
      <w:r w:rsidR="00B515E8">
        <w:t>into the gluteal muscle</w:t>
      </w:r>
      <w:r w:rsidR="00B605C8">
        <w:t xml:space="preserve">; </w:t>
      </w:r>
      <w:r w:rsidR="007255AD">
        <w:t xml:space="preserve">the </w:t>
      </w:r>
      <w:r w:rsidR="006C6319">
        <w:t>pharmacokinetics</w:t>
      </w:r>
      <w:r w:rsidR="00B605C8">
        <w:t xml:space="preserve"> </w:t>
      </w:r>
      <w:r w:rsidR="006C6319">
        <w:t>and efficacy of CAB P</w:t>
      </w:r>
      <w:r w:rsidR="00212F46">
        <w:t>r</w:t>
      </w:r>
      <w:r w:rsidR="006C6319">
        <w:t>EP when injected in other sites has not been studied.</w:t>
      </w:r>
      <w:r w:rsidR="4D9C383F">
        <w:t xml:space="preserve"> The</w:t>
      </w:r>
      <w:r>
        <w:t xml:space="preserve"> first two </w:t>
      </w:r>
      <w:r w:rsidR="4D9C383F">
        <w:t>injections are</w:t>
      </w:r>
      <w:r w:rsidR="000434B3" w:rsidDel="4D9C383F">
        <w:t xml:space="preserve"> </w:t>
      </w:r>
      <w:r w:rsidR="00E15A3B">
        <w:t>one month</w:t>
      </w:r>
      <w:r w:rsidR="4D9C383F">
        <w:t xml:space="preserve"> apart</w:t>
      </w:r>
      <w:r w:rsidR="00464556">
        <w:t>,</w:t>
      </w:r>
      <w:r w:rsidR="4D9C383F">
        <w:t xml:space="preserve"> followed by injections</w:t>
      </w:r>
      <w:r>
        <w:t xml:space="preserve"> every </w:t>
      </w:r>
      <w:r w:rsidR="00E15A3B">
        <w:t>two months</w:t>
      </w:r>
      <w:r>
        <w:t xml:space="preserve">. Cabotegravir belongs to a class of ARVs called integrase strand transfer inhibitors that </w:t>
      </w:r>
      <w:r w:rsidR="6EACFB5B" w:rsidRPr="1D9AD929">
        <w:rPr>
          <w:lang w:val="en-GB"/>
        </w:rPr>
        <w:t>reduce</w:t>
      </w:r>
      <w:r w:rsidRPr="1D9AD929">
        <w:rPr>
          <w:lang w:val="en-GB"/>
        </w:rPr>
        <w:t xml:space="preserve"> the ability of HIV to replicate itself inside a healthy cell. </w:t>
      </w:r>
      <w:r>
        <w:t xml:space="preserve">CAB PrEP delivers cabotegravir systemically, so the drug is absorbed throughout the body. </w:t>
      </w:r>
    </w:p>
    <w:p w14:paraId="20669155" w14:textId="3D858EB8" w:rsidR="000434B3" w:rsidRDefault="7136C5AD" w:rsidP="000434B3">
      <w:r>
        <w:t>Evidence from two randomized control</w:t>
      </w:r>
      <w:r w:rsidR="4B6AF4E6">
        <w:t>led</w:t>
      </w:r>
      <w:r>
        <w:t xml:space="preserve"> trials show</w:t>
      </w:r>
      <w:r w:rsidR="0075297C">
        <w:t>s</w:t>
      </w:r>
      <w:r>
        <w:t xml:space="preserve"> CAB PrEP is highly effective at preventing </w:t>
      </w:r>
      <w:r w:rsidR="76AF2F21">
        <w:t xml:space="preserve">sexual </w:t>
      </w:r>
      <w:r>
        <w:t xml:space="preserve">HIV acquisition </w:t>
      </w:r>
      <w:r w:rsidR="0D9F496B">
        <w:t>and may</w:t>
      </w:r>
      <w:r w:rsidR="61A14BFA">
        <w:t xml:space="preserve"> be offered</w:t>
      </w:r>
      <w:r>
        <w:t xml:space="preserve"> as an additional </w:t>
      </w:r>
      <w:r w:rsidR="61A14BFA">
        <w:t xml:space="preserve">prevention </w:t>
      </w:r>
      <w:r>
        <w:t xml:space="preserve">choice </w:t>
      </w:r>
      <w:r w:rsidR="61A14BFA">
        <w:t>as part of combination prevention approaches</w:t>
      </w:r>
      <w:r w:rsidR="53B0DB0D">
        <w:t>.</w:t>
      </w:r>
      <w:r>
        <w:t xml:space="preserve"> It has not yet been studied for HIV prevention for </w:t>
      </w:r>
      <w:r w:rsidR="00D318E6">
        <w:rPr>
          <w:color w:val="000000" w:themeColor="text1"/>
        </w:rPr>
        <w:t>parenteral exposure</w:t>
      </w:r>
      <w:r w:rsidR="00BA08D4">
        <w:rPr>
          <w:color w:val="000000" w:themeColor="text1"/>
        </w:rPr>
        <w:t xml:space="preserve">; </w:t>
      </w:r>
      <w:r w:rsidR="00927047">
        <w:t>data</w:t>
      </w:r>
      <w:r w:rsidR="00DC7D42">
        <w:t xml:space="preserve"> are</w:t>
      </w:r>
      <w:r w:rsidR="00927047">
        <w:t xml:space="preserve"> emerging </w:t>
      </w:r>
      <w:r>
        <w:t xml:space="preserve">for those who may be exposed </w:t>
      </w:r>
      <w:r w:rsidR="009053B0">
        <w:t xml:space="preserve">during pregnancy, </w:t>
      </w:r>
      <w:r w:rsidR="00F11163">
        <w:t xml:space="preserve">childbirth, </w:t>
      </w:r>
      <w:r w:rsidR="00F005FC">
        <w:t xml:space="preserve">or </w:t>
      </w:r>
      <w:r w:rsidR="009053B0">
        <w:t>breastfeeding</w:t>
      </w:r>
      <w:r>
        <w:t>.</w:t>
      </w:r>
      <w:r w:rsidR="00B10E12" w:rsidDel="00B10E12">
        <w:rPr>
          <w:rStyle w:val="FootnoteReference"/>
        </w:rPr>
        <w:t xml:space="preserve"> </w:t>
      </w:r>
      <w:r>
        <w:t xml:space="preserve">CAB PrEP may be suitable for clients seeking less frequent dosing or increased privacy around PrEP use. </w:t>
      </w:r>
    </w:p>
    <w:p w14:paraId="7F50DB5B" w14:textId="5E2429E8" w:rsidR="007B158F" w:rsidRPr="00B25741" w:rsidRDefault="00FE76E9">
      <w:pPr>
        <w:pStyle w:val="Heading3"/>
        <w:rPr>
          <w:rFonts w:asciiTheme="minorHAnsi" w:hAnsiTheme="minorHAnsi" w:cstheme="minorHAnsi"/>
        </w:rPr>
      </w:pPr>
      <w:bookmarkStart w:id="29" w:name="_Toc182989109"/>
      <w:r w:rsidRPr="00B25741">
        <w:rPr>
          <w:rFonts w:asciiTheme="minorHAnsi" w:hAnsiTheme="minorHAnsi" w:cstheme="minorHAnsi"/>
        </w:rPr>
        <w:t>Formulation of CAB PrEP</w:t>
      </w:r>
      <w:bookmarkEnd w:id="29"/>
    </w:p>
    <w:p w14:paraId="2C68A0DE" w14:textId="7D9721E7" w:rsidR="00915A29" w:rsidRPr="00915A29" w:rsidRDefault="007D467D" w:rsidP="00915A29">
      <w:r>
        <w:t xml:space="preserve">CAB PrEP is </w:t>
      </w:r>
      <w:r w:rsidR="00070D9A">
        <w:t>a</w:t>
      </w:r>
      <w:r w:rsidR="009A2561">
        <w:t>n</w:t>
      </w:r>
      <w:r w:rsidR="00070D9A">
        <w:t xml:space="preserve"> injection </w:t>
      </w:r>
      <w:r>
        <w:t>of cabotegravir extended-release injectable suspension</w:t>
      </w:r>
      <w:r w:rsidR="009A2561">
        <w:t xml:space="preserve"> (3 m</w:t>
      </w:r>
      <w:r w:rsidR="009103D8">
        <w:t>L</w:t>
      </w:r>
      <w:r w:rsidR="009A2561">
        <w:t>)</w:t>
      </w:r>
      <w:r w:rsidR="00070D9A">
        <w:t xml:space="preserve"> </w:t>
      </w:r>
      <w:r w:rsidR="0095593D">
        <w:t xml:space="preserve">at a dose of </w:t>
      </w:r>
      <w:r w:rsidR="00070D9A">
        <w:t xml:space="preserve">600 mg. </w:t>
      </w:r>
    </w:p>
    <w:p w14:paraId="6B672EA3" w14:textId="307A72CD" w:rsidR="00FE76E9" w:rsidRPr="00B25741" w:rsidRDefault="00FE76E9">
      <w:pPr>
        <w:pStyle w:val="Heading3"/>
        <w:rPr>
          <w:rFonts w:asciiTheme="minorHAnsi" w:hAnsiTheme="minorHAnsi" w:cstheme="minorHAnsi"/>
        </w:rPr>
      </w:pPr>
      <w:bookmarkStart w:id="30" w:name="_Toc182989110"/>
      <w:r w:rsidRPr="00B25741">
        <w:rPr>
          <w:rFonts w:asciiTheme="minorHAnsi" w:hAnsiTheme="minorHAnsi" w:cstheme="minorHAnsi"/>
        </w:rPr>
        <w:t>CAB PrEP Effectiveness</w:t>
      </w:r>
      <w:bookmarkEnd w:id="30"/>
    </w:p>
    <w:p w14:paraId="47C6D1E0" w14:textId="50C4D9F0" w:rsidR="00F2621D" w:rsidRPr="003C5E44" w:rsidRDefault="79AB6D72" w:rsidP="003C5E44">
      <w:r>
        <w:t xml:space="preserve">In clinical trials, CAB PrEP </w:t>
      </w:r>
      <w:r w:rsidR="00E263B8">
        <w:t xml:space="preserve">has </w:t>
      </w:r>
      <w:r w:rsidR="00687835">
        <w:t xml:space="preserve">been </w:t>
      </w:r>
      <w:r w:rsidR="00E263B8">
        <w:t xml:space="preserve">shown to be highly effective in cisgender and transgender women and </w:t>
      </w:r>
      <w:r w:rsidR="00EF63A8">
        <w:t xml:space="preserve">cisgender men. </w:t>
      </w:r>
      <w:r w:rsidR="004B69ED">
        <w:t>In recent randomized controlled trials, CAB PrEP was shown to be more effective than oral PrEP,</w:t>
      </w:r>
      <w:r w:rsidR="00BA08D4">
        <w:t xml:space="preserve"> </w:t>
      </w:r>
      <w:r w:rsidR="0029363C">
        <w:t>a difference</w:t>
      </w:r>
      <w:r w:rsidR="004B69ED">
        <w:t xml:space="preserve"> likely due largely to better adherence to CAB PrEP.</w:t>
      </w:r>
      <w:r w:rsidR="00CE1629">
        <w:rPr>
          <w:rStyle w:val="FootnoteReference"/>
        </w:rPr>
        <w:footnoteReference w:id="27"/>
      </w:r>
      <w:r w:rsidR="004B69ED">
        <w:t xml:space="preserve"> </w:t>
      </w:r>
      <w:r w:rsidR="006460D8">
        <w:t xml:space="preserve">When used as directed, CAB PrEP </w:t>
      </w:r>
      <w:r w:rsidR="00F75477">
        <w:t xml:space="preserve">is at least 90% </w:t>
      </w:r>
      <w:r w:rsidR="00B06133">
        <w:t xml:space="preserve">more </w:t>
      </w:r>
      <w:r w:rsidR="00F75477">
        <w:t>effective (possible as high as 92-96%)</w:t>
      </w:r>
      <w:r w:rsidR="004A76C3">
        <w:t xml:space="preserve"> when compared to oral PrEP</w:t>
      </w:r>
      <w:r w:rsidR="00F75477">
        <w:t xml:space="preserve">. </w:t>
      </w:r>
      <w:r>
        <w:t>If a client is using CAB PrEP for HIV prevention, it is important t</w:t>
      </w:r>
      <w:r w:rsidR="005A55CB">
        <w:t>hey</w:t>
      </w:r>
      <w:r>
        <w:t xml:space="preserve"> keep up with regular appointments for injections to make sure there is enough cabotegravir in their body to continue to prevent HIV. </w:t>
      </w:r>
      <w:r w:rsidR="00D75352">
        <w:t xml:space="preserve">When a client </w:t>
      </w:r>
      <w:r w:rsidR="00E261A0">
        <w:t>misses a scheduled injection or discontinues CAB PrEP</w:t>
      </w:r>
      <w:r w:rsidR="00D75352">
        <w:t>,</w:t>
      </w:r>
      <w:r w:rsidR="00E261A0">
        <w:t xml:space="preserve"> concentrations of the medication in the body slowly decline. During this pharmacokinetic </w:t>
      </w:r>
      <w:r w:rsidR="0000014B">
        <w:t>“</w:t>
      </w:r>
      <w:r w:rsidR="00E261A0">
        <w:t>tail,</w:t>
      </w:r>
      <w:r w:rsidR="0000014B">
        <w:t>”</w:t>
      </w:r>
      <w:r w:rsidR="00E261A0">
        <w:t xml:space="preserve"> </w:t>
      </w:r>
      <w:r w:rsidR="00D22C45">
        <w:t>CAB PrEP becomes gradually less protective against HIV acquisition</w:t>
      </w:r>
      <w:r w:rsidR="005A55CB">
        <w:t>,</w:t>
      </w:r>
      <w:r w:rsidR="00D22C45">
        <w:t xml:space="preserve"> and seroconv</w:t>
      </w:r>
      <w:r w:rsidR="0058703F">
        <w:t>ersion may occur</w:t>
      </w:r>
      <w:r w:rsidR="00AC3364">
        <w:t xml:space="preserve"> if the </w:t>
      </w:r>
      <w:r w:rsidR="00F35EEB">
        <w:t>client</w:t>
      </w:r>
      <w:r w:rsidR="00AC3364">
        <w:t xml:space="preserve"> continues to be exposed to HIV</w:t>
      </w:r>
      <w:r w:rsidR="0058703F">
        <w:t xml:space="preserve">. For more information on the pharmacokinetic tail, refer to the </w:t>
      </w:r>
      <w:r w:rsidR="0058703F">
        <w:rPr>
          <w:i/>
          <w:iCs/>
        </w:rPr>
        <w:t xml:space="preserve">Stopping CAB PrEP </w:t>
      </w:r>
      <w:r w:rsidR="0058703F">
        <w:t xml:space="preserve">section. </w:t>
      </w:r>
    </w:p>
    <w:p w14:paraId="53094B07" w14:textId="67B595C0" w:rsidR="00FE76E9" w:rsidRPr="00B25741" w:rsidRDefault="00663F47">
      <w:pPr>
        <w:pStyle w:val="Heading3"/>
        <w:rPr>
          <w:rFonts w:asciiTheme="minorHAnsi" w:hAnsiTheme="minorHAnsi" w:cstheme="minorHAnsi"/>
        </w:rPr>
      </w:pPr>
      <w:bookmarkStart w:id="31" w:name="_Toc182989111"/>
      <w:r w:rsidRPr="00B25741">
        <w:rPr>
          <w:rFonts w:asciiTheme="minorHAnsi" w:hAnsiTheme="minorHAnsi" w:cstheme="minorHAnsi"/>
        </w:rPr>
        <w:t xml:space="preserve">Potential </w:t>
      </w:r>
      <w:r w:rsidR="00FE76E9" w:rsidRPr="00B25741">
        <w:rPr>
          <w:rFonts w:asciiTheme="minorHAnsi" w:hAnsiTheme="minorHAnsi" w:cstheme="minorHAnsi"/>
        </w:rPr>
        <w:t>Side Effects of CAB PrEP</w:t>
      </w:r>
      <w:bookmarkEnd w:id="31"/>
    </w:p>
    <w:p w14:paraId="7F35BBA8" w14:textId="2116D6E6" w:rsidR="004340E9" w:rsidRDefault="0000014B" w:rsidP="00124632">
      <w:r>
        <w:t>The m</w:t>
      </w:r>
      <w:r w:rsidR="00663F47">
        <w:t xml:space="preserve">ost common </w:t>
      </w:r>
      <w:r w:rsidR="00D11530">
        <w:t>side effects of CAB PrEP include</w:t>
      </w:r>
      <w:r w:rsidR="004340E9">
        <w:t>:</w:t>
      </w:r>
    </w:p>
    <w:p w14:paraId="3661832A" w14:textId="77777777" w:rsidR="004340E9" w:rsidRDefault="004340E9" w:rsidP="004340E9">
      <w:pPr>
        <w:pStyle w:val="ListParagraph"/>
        <w:numPr>
          <w:ilvl w:val="0"/>
          <w:numId w:val="30"/>
        </w:numPr>
      </w:pPr>
      <w:r>
        <w:lastRenderedPageBreak/>
        <w:t>H</w:t>
      </w:r>
      <w:r w:rsidR="00D11530">
        <w:t>eadache</w:t>
      </w:r>
    </w:p>
    <w:p w14:paraId="2695E741" w14:textId="77777777" w:rsidR="00EF118B" w:rsidRDefault="00EF118B" w:rsidP="004340E9">
      <w:pPr>
        <w:pStyle w:val="ListParagraph"/>
        <w:numPr>
          <w:ilvl w:val="0"/>
          <w:numId w:val="30"/>
        </w:numPr>
      </w:pPr>
      <w:r>
        <w:t>N</w:t>
      </w:r>
      <w:r w:rsidR="00D11530">
        <w:t>ausea</w:t>
      </w:r>
    </w:p>
    <w:p w14:paraId="12436540" w14:textId="24149905" w:rsidR="00EF118B" w:rsidRDefault="002947F4" w:rsidP="004340E9">
      <w:pPr>
        <w:pStyle w:val="ListParagraph"/>
        <w:numPr>
          <w:ilvl w:val="0"/>
          <w:numId w:val="30"/>
        </w:numPr>
      </w:pPr>
      <w:r>
        <w:t>Diarrhea</w:t>
      </w:r>
    </w:p>
    <w:p w14:paraId="39D3699A" w14:textId="77777777" w:rsidR="006F7001" w:rsidRDefault="00EF118B" w:rsidP="00EF118B">
      <w:pPr>
        <w:pStyle w:val="ListParagraph"/>
        <w:numPr>
          <w:ilvl w:val="0"/>
          <w:numId w:val="30"/>
        </w:numPr>
      </w:pPr>
      <w:r>
        <w:t>T</w:t>
      </w:r>
      <w:r w:rsidR="00D11530">
        <w:t xml:space="preserve">iredness </w:t>
      </w:r>
    </w:p>
    <w:p w14:paraId="66A18321" w14:textId="2835FA63" w:rsidR="0081022D" w:rsidRDefault="28B07FC8" w:rsidP="00EF118B">
      <w:pPr>
        <w:pStyle w:val="ListParagraph"/>
        <w:numPr>
          <w:ilvl w:val="0"/>
          <w:numId w:val="30"/>
        </w:numPr>
      </w:pPr>
      <w:r>
        <w:t>Injection site reactions (</w:t>
      </w:r>
      <w:r w:rsidR="00CA2151">
        <w:t xml:space="preserve">ISRs) </w:t>
      </w:r>
    </w:p>
    <w:p w14:paraId="22374B55" w14:textId="4AB8D05F" w:rsidR="00B87E36" w:rsidRDefault="00D11530" w:rsidP="00EF118B">
      <w:r>
        <w:t xml:space="preserve">These </w:t>
      </w:r>
      <w:r w:rsidR="004E7950">
        <w:t xml:space="preserve">side effects </w:t>
      </w:r>
      <w:r>
        <w:t>are usually mil</w:t>
      </w:r>
      <w:r w:rsidR="0011673E">
        <w:t>d</w:t>
      </w:r>
      <w:r>
        <w:t xml:space="preserve"> or moderate</w:t>
      </w:r>
      <w:r w:rsidR="002A592C">
        <w:t>.</w:t>
      </w:r>
      <w:r>
        <w:t xml:space="preserve"> </w:t>
      </w:r>
      <w:r w:rsidR="00600D83">
        <w:t xml:space="preserve">Mild or moderate </w:t>
      </w:r>
      <w:r w:rsidR="00D3623A">
        <w:t>I</w:t>
      </w:r>
      <w:r w:rsidR="00AC47C9">
        <w:t>SR</w:t>
      </w:r>
      <w:r w:rsidR="00CA2151">
        <w:t>s</w:t>
      </w:r>
      <w:r w:rsidR="00600D83">
        <w:t xml:space="preserve"> are more common than other potential side effects</w:t>
      </w:r>
      <w:r w:rsidR="0050059A">
        <w:t>,</w:t>
      </w:r>
      <w:r w:rsidR="00265E66">
        <w:t xml:space="preserve"> </w:t>
      </w:r>
      <w:r w:rsidR="0050059A">
        <w:t>becoming</w:t>
      </w:r>
      <w:r w:rsidR="00030635">
        <w:t xml:space="preserve"> less frequent over time as clients get used to the injection. </w:t>
      </w:r>
      <w:r w:rsidR="0000014B">
        <w:t xml:space="preserve">ISRs </w:t>
      </w:r>
      <w:r w:rsidR="0050059A">
        <w:t>can include redness, pain, and swelling at the injection site</w:t>
      </w:r>
      <w:r w:rsidR="00317FB1">
        <w:t xml:space="preserve">. </w:t>
      </w:r>
    </w:p>
    <w:p w14:paraId="1F8FFA79" w14:textId="6CAE595C" w:rsidR="00F22A7E" w:rsidRPr="004A7A99" w:rsidRDefault="00F22A7E" w:rsidP="00EF118B">
      <w:pPr>
        <w:rPr>
          <w:rFonts w:cstheme="minorHAnsi"/>
          <w:bdr w:val="none" w:sz="0" w:space="0" w:color="auto" w:frame="1"/>
        </w:rPr>
      </w:pPr>
      <w:r w:rsidRPr="004A7A99">
        <w:rPr>
          <w:rFonts w:cstheme="minorHAnsi"/>
          <w:bdr w:val="none" w:sz="0" w:space="0" w:color="auto" w:frame="1"/>
        </w:rPr>
        <w:t xml:space="preserve">For </w:t>
      </w:r>
      <w:r w:rsidR="001F6779">
        <w:rPr>
          <w:rFonts w:cstheme="minorHAnsi"/>
          <w:bdr w:val="none" w:sz="0" w:space="0" w:color="auto" w:frame="1"/>
        </w:rPr>
        <w:t xml:space="preserve">information on less common side effects, review the product label. </w:t>
      </w:r>
    </w:p>
    <w:p w14:paraId="37E5CCE3" w14:textId="549FFECD" w:rsidR="00FE76E9" w:rsidRPr="00B25741" w:rsidRDefault="00FE76E9">
      <w:pPr>
        <w:pStyle w:val="Heading3"/>
        <w:rPr>
          <w:rFonts w:asciiTheme="minorHAnsi" w:hAnsiTheme="minorHAnsi" w:cstheme="minorHAnsi"/>
        </w:rPr>
      </w:pPr>
      <w:bookmarkStart w:id="32" w:name="_Toc182989112"/>
      <w:r w:rsidRPr="00B25741">
        <w:rPr>
          <w:rFonts w:asciiTheme="minorHAnsi" w:hAnsiTheme="minorHAnsi" w:cstheme="minorHAnsi"/>
        </w:rPr>
        <w:t>CAB PrEP and Other Drug Interactions</w:t>
      </w:r>
      <w:bookmarkEnd w:id="32"/>
    </w:p>
    <w:p w14:paraId="133E9736" w14:textId="2486311D" w:rsidR="00754135" w:rsidRDefault="00D05B73" w:rsidP="00754135">
      <w:r>
        <w:t>Some a</w:t>
      </w:r>
      <w:r w:rsidR="00754135">
        <w:t xml:space="preserve">nticonvulsants </w:t>
      </w:r>
      <w:r w:rsidR="006133F5">
        <w:t>(</w:t>
      </w:r>
      <w:r w:rsidR="00754135">
        <w:t>carbamazepine, oxcarbazepine, phenobarbital, and phenytoin</w:t>
      </w:r>
      <w:r w:rsidR="006133F5">
        <w:t>)</w:t>
      </w:r>
      <w:r w:rsidR="00754135">
        <w:t xml:space="preserve">, and </w:t>
      </w:r>
      <w:r w:rsidR="006133F5">
        <w:t xml:space="preserve">some </w:t>
      </w:r>
      <w:r w:rsidR="00754135">
        <w:t xml:space="preserve">antimycobacterial medications </w:t>
      </w:r>
      <w:r w:rsidR="006133F5">
        <w:t>(</w:t>
      </w:r>
      <w:r w:rsidR="00754135">
        <w:t>rifampin</w:t>
      </w:r>
      <w:r w:rsidR="001439A4">
        <w:t>,</w:t>
      </w:r>
      <w:r w:rsidR="00D3059D">
        <w:t xml:space="preserve"> </w:t>
      </w:r>
      <w:r w:rsidR="00ED72EE">
        <w:t>sometimes named rifampicin</w:t>
      </w:r>
      <w:r w:rsidR="001439A4">
        <w:t>,</w:t>
      </w:r>
      <w:r w:rsidR="00754135">
        <w:t xml:space="preserve"> and rifapentine</w:t>
      </w:r>
      <w:r w:rsidR="006133F5">
        <w:t>)</w:t>
      </w:r>
      <w:r w:rsidR="00754135">
        <w:t xml:space="preserve"> may interact with CAB PrEP </w:t>
      </w:r>
      <w:r w:rsidR="006F3504">
        <w:t xml:space="preserve">and </w:t>
      </w:r>
      <w:r w:rsidR="00754135">
        <w:t xml:space="preserve">reduce </w:t>
      </w:r>
      <w:r w:rsidR="00050588">
        <w:t>its</w:t>
      </w:r>
      <w:r w:rsidR="006F3504">
        <w:t xml:space="preserve"> efficacy</w:t>
      </w:r>
      <w:r w:rsidR="00D2686E">
        <w:t xml:space="preserve"> by significantly decreasing </w:t>
      </w:r>
      <w:r w:rsidR="00255E95">
        <w:t>concentrations o</w:t>
      </w:r>
      <w:r w:rsidR="00050588">
        <w:t xml:space="preserve">f </w:t>
      </w:r>
      <w:r w:rsidR="00D2686E">
        <w:t xml:space="preserve">cabotegravir </w:t>
      </w:r>
      <w:r w:rsidR="00050588">
        <w:t xml:space="preserve">in blood </w:t>
      </w:r>
      <w:r w:rsidR="00D2686E">
        <w:t>plasma.</w:t>
      </w:r>
      <w:r w:rsidR="006F3504">
        <w:t xml:space="preserve"> </w:t>
      </w:r>
      <w:r w:rsidR="00D631CB">
        <w:t xml:space="preserve">These </w:t>
      </w:r>
      <w:r w:rsidR="00050588">
        <w:t xml:space="preserve">drugs </w:t>
      </w:r>
      <w:r w:rsidR="00D631CB">
        <w:t>should not be co-administered with CAB PrEP</w:t>
      </w:r>
      <w:r w:rsidR="00E24744">
        <w:t>,</w:t>
      </w:r>
      <w:r w:rsidR="00D631CB">
        <w:t xml:space="preserve"> and clients using th</w:t>
      </w:r>
      <w:r w:rsidR="00E24744">
        <w:t>e</w:t>
      </w:r>
      <w:r w:rsidR="00D631CB">
        <w:t>m may need to select a different PrEP method</w:t>
      </w:r>
      <w:r w:rsidR="00973CE1">
        <w:t xml:space="preserve"> or </w:t>
      </w:r>
      <w:r w:rsidR="0845B86D">
        <w:t xml:space="preserve">HIV </w:t>
      </w:r>
      <w:r w:rsidR="00973CE1">
        <w:t>prevention strategy</w:t>
      </w:r>
      <w:r w:rsidR="00D631CB">
        <w:t xml:space="preserve">. </w:t>
      </w:r>
      <w:r w:rsidR="00FB2071">
        <w:t xml:space="preserve">After a client completes rifampin or rifapentine, they </w:t>
      </w:r>
      <w:r w:rsidR="00164DF1">
        <w:t xml:space="preserve">can be considered for CAB PrEP </w:t>
      </w:r>
      <w:r w:rsidR="5B461C4D">
        <w:t>after</w:t>
      </w:r>
      <w:r w:rsidR="00164DF1">
        <w:t xml:space="preserve"> two </w:t>
      </w:r>
      <w:r w:rsidR="5BCAB138">
        <w:t>week</w:t>
      </w:r>
      <w:r w:rsidR="3FC43B31">
        <w:t>s</w:t>
      </w:r>
      <w:r w:rsidR="00317FB1">
        <w:t>.</w:t>
      </w:r>
      <w:r w:rsidR="00D67D8E">
        <w:rPr>
          <w:rStyle w:val="FootnoteReference"/>
        </w:rPr>
        <w:footnoteReference w:id="28"/>
      </w:r>
      <w:r w:rsidR="00FB2071">
        <w:t xml:space="preserve"> </w:t>
      </w:r>
    </w:p>
    <w:p w14:paraId="715D16B6" w14:textId="4DD54D87" w:rsidR="008C27B4" w:rsidRDefault="0E9B7F06" w:rsidP="00754135">
      <w:r w:rsidRPr="7D32EE1A">
        <w:rPr>
          <w:color w:val="000000" w:themeColor="text1"/>
        </w:rPr>
        <w:t>There are no known interactions between CAB PrEP and contraceptive hormones or other forms of contraception</w:t>
      </w:r>
      <w:r w:rsidR="0DE1B7F1" w:rsidRPr="7D32EE1A">
        <w:rPr>
          <w:color w:val="000000" w:themeColor="text1"/>
        </w:rPr>
        <w:t>.</w:t>
      </w:r>
      <w:r>
        <w:t xml:space="preserve"> </w:t>
      </w:r>
      <w:r w:rsidR="344291F4">
        <w:t xml:space="preserve">Available evidence suggests that use of </w:t>
      </w:r>
      <w:r w:rsidR="00CF785C">
        <w:t>exogenous estradiol-based hormones</w:t>
      </w:r>
      <w:r w:rsidR="344291F4">
        <w:t xml:space="preserve"> by transgender women does not </w:t>
      </w:r>
      <w:r w:rsidR="009D745E">
        <w:t>affe</w:t>
      </w:r>
      <w:r w:rsidR="344291F4">
        <w:t>ct drug levels of cabotegravir.</w:t>
      </w:r>
      <w:r w:rsidR="008C27B4">
        <w:rPr>
          <w:rStyle w:val="FootnoteReference"/>
        </w:rPr>
        <w:footnoteReference w:id="29"/>
      </w:r>
    </w:p>
    <w:p w14:paraId="70A83ABC" w14:textId="632E0439" w:rsidR="007C4870" w:rsidRDefault="16AE0F78" w:rsidP="7D32EE1A">
      <w:pPr>
        <w:spacing w:after="120" w:line="240" w:lineRule="auto"/>
        <w:rPr>
          <w:color w:val="000000" w:themeColor="text1"/>
        </w:rPr>
      </w:pPr>
      <w:r w:rsidRPr="56D00486">
        <w:rPr>
          <w:color w:val="000000" w:themeColor="text1"/>
        </w:rPr>
        <w:t>There are no known interactions between CAB PrEP and</w:t>
      </w:r>
      <w:r w:rsidR="00404098">
        <w:t xml:space="preserve"> </w:t>
      </w:r>
      <w:r w:rsidR="0E59666A">
        <w:t>recreational drugs</w:t>
      </w:r>
      <w:r w:rsidR="00F05C22">
        <w:t xml:space="preserve"> or</w:t>
      </w:r>
      <w:r w:rsidR="0E59666A">
        <w:t xml:space="preserve"> alcohol</w:t>
      </w:r>
      <w:r w:rsidR="2E2DFBE8">
        <w:t xml:space="preserve">, </w:t>
      </w:r>
      <w:r w:rsidR="008435BF">
        <w:t xml:space="preserve">but </w:t>
      </w:r>
      <w:r w:rsidR="161B2EFC">
        <w:t xml:space="preserve">alcohol and drug use could </w:t>
      </w:r>
      <w:r w:rsidR="008435BF">
        <w:t>affe</w:t>
      </w:r>
      <w:r w:rsidR="161B2EFC">
        <w:t xml:space="preserve">ct the ability to attend necessary health appointments, potentially resulting in missed </w:t>
      </w:r>
      <w:r w:rsidR="2E1C3C2C">
        <w:t>injections</w:t>
      </w:r>
      <w:r w:rsidR="045F7B3D">
        <w:t xml:space="preserve">. </w:t>
      </w:r>
      <w:r w:rsidR="045F7B3D" w:rsidRPr="56D00486">
        <w:rPr>
          <w:color w:val="000000" w:themeColor="text1"/>
        </w:rPr>
        <w:t xml:space="preserve">If a client or potential client thinks that their use of alcohol or other substances is interfering or may interfere with effective use of CAB PrEP, the provider </w:t>
      </w:r>
      <w:r w:rsidR="005B3C63" w:rsidRPr="1D9AD929">
        <w:rPr>
          <w:color w:val="000000" w:themeColor="text1"/>
        </w:rPr>
        <w:t xml:space="preserve">should </w:t>
      </w:r>
      <w:r w:rsidR="005B3C63" w:rsidRPr="15C66FE6">
        <w:rPr>
          <w:color w:val="000000" w:themeColor="text1"/>
        </w:rPr>
        <w:t xml:space="preserve">engage the client to understand what support or referrals might be valuable to support effective use while also discussing </w:t>
      </w:r>
      <w:r w:rsidR="005B3C63" w:rsidRPr="1D9AD929">
        <w:rPr>
          <w:color w:val="000000" w:themeColor="text1"/>
        </w:rPr>
        <w:t xml:space="preserve">additional prevention options, including </w:t>
      </w:r>
      <w:r w:rsidR="005B3C63" w:rsidRPr="15C66FE6">
        <w:rPr>
          <w:color w:val="000000" w:themeColor="text1"/>
        </w:rPr>
        <w:t xml:space="preserve">other PrEP methods and the </w:t>
      </w:r>
      <w:r w:rsidR="005B3C63" w:rsidRPr="1D9AD929">
        <w:rPr>
          <w:color w:val="000000" w:themeColor="text1"/>
        </w:rPr>
        <w:t>use of condoms and condom-compatible lubricant.</w:t>
      </w:r>
    </w:p>
    <w:tbl>
      <w:tblPr>
        <w:tblW w:w="0" w:type="auto"/>
        <w:tblLook w:val="04A0" w:firstRow="1" w:lastRow="0" w:firstColumn="1" w:lastColumn="0" w:noHBand="0" w:noVBand="1"/>
      </w:tblPr>
      <w:tblGrid>
        <w:gridCol w:w="10456"/>
      </w:tblGrid>
      <w:tr w:rsidR="00175F71" w:rsidRPr="007F47FD" w14:paraId="556F9685" w14:textId="77777777" w:rsidTr="56D00486">
        <w:tc>
          <w:tcPr>
            <w:tcW w:w="10456" w:type="dxa"/>
            <w:shd w:val="clear" w:color="auto" w:fill="C5E0B3" w:themeFill="accent6" w:themeFillTint="66"/>
          </w:tcPr>
          <w:p w14:paraId="486582AC" w14:textId="114869AF" w:rsidR="00A0031C" w:rsidRDefault="00175F71" w:rsidP="00F76585">
            <w:pPr>
              <w:spacing w:after="120"/>
            </w:pPr>
            <w:r w:rsidRPr="0294A27B">
              <w:rPr>
                <w:b/>
              </w:rPr>
              <w:t xml:space="preserve">For </w:t>
            </w:r>
            <w:r w:rsidR="00375A80">
              <w:rPr>
                <w:b/>
              </w:rPr>
              <w:t>c</w:t>
            </w:r>
            <w:r w:rsidRPr="0294A27B">
              <w:rPr>
                <w:b/>
              </w:rPr>
              <w:t>onsideration:</w:t>
            </w:r>
            <w:r w:rsidR="00063662" w:rsidRPr="0294A27B">
              <w:rPr>
                <w:b/>
              </w:rPr>
              <w:t xml:space="preserve"> </w:t>
            </w:r>
            <w:r w:rsidR="00196D4B" w:rsidRPr="0294A27B">
              <w:t>Clients using either methadone</w:t>
            </w:r>
            <w:r w:rsidR="00F402FE">
              <w:t xml:space="preserve"> or </w:t>
            </w:r>
            <w:r w:rsidR="00196D4B" w:rsidRPr="0294A27B">
              <w:t>rifabutin</w:t>
            </w:r>
            <w:r w:rsidR="005131D6" w:rsidRPr="0294A27B">
              <w:t xml:space="preserve"> </w:t>
            </w:r>
            <w:r w:rsidR="00196D4B" w:rsidRPr="0294A27B">
              <w:t xml:space="preserve">may still be </w:t>
            </w:r>
            <w:r w:rsidR="00694846">
              <w:t>able to use</w:t>
            </w:r>
            <w:r w:rsidR="00196D4B" w:rsidRPr="0294A27B">
              <w:t xml:space="preserve"> CAB PrEP</w:t>
            </w:r>
            <w:r w:rsidR="00AB7407" w:rsidRPr="0294A27B">
              <w:t>,</w:t>
            </w:r>
            <w:r w:rsidR="00196D4B" w:rsidRPr="0294A27B">
              <w:t xml:space="preserve"> but additional cautions may be warranted</w:t>
            </w:r>
            <w:r w:rsidR="00A50478">
              <w:t>.</w:t>
            </w:r>
            <w:r w:rsidR="002946E4">
              <w:t xml:space="preserve"> </w:t>
            </w:r>
            <w:r w:rsidR="00A50478">
              <w:t>C</w:t>
            </w:r>
            <w:r w:rsidR="00196D4B" w:rsidRPr="0294A27B">
              <w:t xml:space="preserve">lients using methadone could require medication dose adjustments to maintain </w:t>
            </w:r>
            <w:r w:rsidR="00541F2B">
              <w:t xml:space="preserve">the </w:t>
            </w:r>
            <w:r w:rsidR="00196D4B" w:rsidRPr="0294A27B">
              <w:t xml:space="preserve">effectiveness </w:t>
            </w:r>
            <w:r w:rsidR="00E55204">
              <w:t xml:space="preserve">of </w:t>
            </w:r>
            <w:r w:rsidR="00A50478">
              <w:t xml:space="preserve">the </w:t>
            </w:r>
            <w:r w:rsidR="00E55204">
              <w:t xml:space="preserve">medication </w:t>
            </w:r>
            <w:r w:rsidR="00196D4B" w:rsidRPr="0294A27B">
              <w:t xml:space="preserve">while </w:t>
            </w:r>
            <w:r w:rsidR="00E55204">
              <w:t xml:space="preserve">they are </w:t>
            </w:r>
            <w:r w:rsidR="00196D4B" w:rsidRPr="0294A27B">
              <w:t>using CAB PrEP</w:t>
            </w:r>
            <w:r w:rsidR="00A50478">
              <w:t xml:space="preserve">, while clients using </w:t>
            </w:r>
            <w:r w:rsidR="00A50478" w:rsidRPr="0294A27B">
              <w:t>rifabutin</w:t>
            </w:r>
            <w:r w:rsidR="00A50478">
              <w:t xml:space="preserve"> may require dose adjustments of CAB PrEP, specifically more frequent injections.</w:t>
            </w:r>
            <w:r w:rsidR="00196D4B" w:rsidRPr="0294A27B">
              <w:t xml:space="preserve"> Clients using high-dose aspirin</w:t>
            </w:r>
            <w:r w:rsidR="005131D6" w:rsidRPr="0294A27B">
              <w:t xml:space="preserve"> </w:t>
            </w:r>
            <w:r w:rsidR="00196D4B" w:rsidRPr="0294A27B">
              <w:t>in the past week</w:t>
            </w:r>
            <w:r w:rsidR="00C9381A">
              <w:t>,</w:t>
            </w:r>
            <w:r w:rsidR="005131D6" w:rsidRPr="0294A27B">
              <w:t xml:space="preserve"> </w:t>
            </w:r>
            <w:r w:rsidR="0025708A">
              <w:t xml:space="preserve">such as non-steroidal </w:t>
            </w:r>
            <w:r w:rsidR="00EC0EC1">
              <w:t>anti-inflammatory</w:t>
            </w:r>
            <w:r w:rsidR="0025708A">
              <w:t xml:space="preserve"> drugs for pain </w:t>
            </w:r>
            <w:r w:rsidR="00C9381A">
              <w:t>or</w:t>
            </w:r>
            <w:r w:rsidR="00E17FBE">
              <w:t xml:space="preserve"> a</w:t>
            </w:r>
            <w:r w:rsidR="005A3DD2">
              <w:t>nticoagulants</w:t>
            </w:r>
            <w:r w:rsidR="005C7F85">
              <w:t xml:space="preserve"> or other antiplatelets</w:t>
            </w:r>
            <w:r w:rsidR="008E40C4">
              <w:t>,</w:t>
            </w:r>
            <w:r w:rsidR="00163682">
              <w:t xml:space="preserve"> </w:t>
            </w:r>
            <w:r w:rsidR="00196D4B" w:rsidRPr="0294A27B">
              <w:t xml:space="preserve">may </w:t>
            </w:r>
            <w:r w:rsidR="00F901EB" w:rsidRPr="0294A27B">
              <w:t>have a higher likelihood of bruising</w:t>
            </w:r>
            <w:r w:rsidR="00A76914">
              <w:t xml:space="preserve"> or bleeding</w:t>
            </w:r>
            <w:r w:rsidR="00F901EB" w:rsidRPr="0294A27B">
              <w:t xml:space="preserve"> at the injection site and should be made aware and counseled on mitigation strategies</w:t>
            </w:r>
            <w:r w:rsidR="00CF7656">
              <w:t>,</w:t>
            </w:r>
            <w:r w:rsidR="00F901EB" w:rsidRPr="0294A27B">
              <w:t xml:space="preserve"> if relevant. </w:t>
            </w:r>
          </w:p>
          <w:p w14:paraId="4C8220BE" w14:textId="039D6743" w:rsidR="00052833" w:rsidRDefault="002D65FB" w:rsidP="00F76585">
            <w:pPr>
              <w:spacing w:after="120"/>
            </w:pPr>
            <w:r>
              <w:t>If a client is</w:t>
            </w:r>
            <w:r w:rsidR="000F3B2A">
              <w:t xml:space="preserve"> using CAB PrEP</w:t>
            </w:r>
            <w:r w:rsidR="009C0547">
              <w:t xml:space="preserve"> </w:t>
            </w:r>
            <w:r>
              <w:t>and</w:t>
            </w:r>
            <w:r w:rsidR="009C0547">
              <w:t xml:space="preserve"> </w:t>
            </w:r>
            <w:r w:rsidR="00F0362E">
              <w:t>is</w:t>
            </w:r>
            <w:r w:rsidR="009C0547">
              <w:t xml:space="preserve"> diagnosed with tuberculosis (TB)</w:t>
            </w:r>
            <w:r w:rsidR="000F3B2A">
              <w:t xml:space="preserve">, they will </w:t>
            </w:r>
            <w:r w:rsidR="1E110FE9">
              <w:t xml:space="preserve">need to temporarily discontinue CAB PrEP and receive treatment with a standard rifampin-based regimen. </w:t>
            </w:r>
            <w:r w:rsidR="00B048BE">
              <w:t xml:space="preserve">In the interim, the client may use another PrEP method or HIV prevention strategy. </w:t>
            </w:r>
            <w:r w:rsidR="003B653B">
              <w:t xml:space="preserve">If the client </w:t>
            </w:r>
            <w:r w:rsidR="003F6A99">
              <w:t xml:space="preserve">completes TB therapy and wishes to </w:t>
            </w:r>
            <w:r w:rsidR="00052833">
              <w:t xml:space="preserve">continue </w:t>
            </w:r>
            <w:r w:rsidR="00F13259">
              <w:t>with</w:t>
            </w:r>
            <w:r w:rsidR="003F6A99">
              <w:t xml:space="preserve"> CAB PrEP, they </w:t>
            </w:r>
            <w:r w:rsidR="002D14B7">
              <w:t>should be assessed for CAB PrEP use and can</w:t>
            </w:r>
            <w:r w:rsidR="003F6A99">
              <w:t xml:space="preserve"> restar</w:t>
            </w:r>
            <w:r w:rsidR="00052833">
              <w:t xml:space="preserve">t </w:t>
            </w:r>
            <w:r w:rsidR="002D14B7">
              <w:t xml:space="preserve">CAB PrEP with initiation injection 1. </w:t>
            </w:r>
            <w:r w:rsidR="00002150">
              <w:t>CAB PrEP can be started two weeks after a client completes TB therapy.</w:t>
            </w:r>
          </w:p>
          <w:p w14:paraId="6E9140CB" w14:textId="31E32953" w:rsidR="002F09BC" w:rsidRPr="001C2FD6" w:rsidRDefault="1E110FE9" w:rsidP="00D365D5">
            <w:pPr>
              <w:spacing w:after="120"/>
            </w:pPr>
            <w:r>
              <w:t xml:space="preserve">Clients who receive TB preventative treatment with once-weekly rifapentine-isoniazid for 12 weeks (also known as 3HP) should temporarily discontinue CAB PrEP for the duration of their rifapentine use. Clients can </w:t>
            </w:r>
            <w:r w:rsidR="00153EEE">
              <w:t>restart</w:t>
            </w:r>
            <w:r>
              <w:t xml:space="preserve"> CAB PrEP two weeks after completing 3HP. </w:t>
            </w:r>
          </w:p>
        </w:tc>
      </w:tr>
    </w:tbl>
    <w:p w14:paraId="0EFD8E77" w14:textId="77777777" w:rsidR="00B03AD4" w:rsidRDefault="00B03AD4" w:rsidP="00B03AD4">
      <w:pPr>
        <w:spacing w:after="120" w:line="240" w:lineRule="auto"/>
        <w:rPr>
          <w:color w:val="000000" w:themeColor="text1"/>
        </w:rPr>
      </w:pPr>
    </w:p>
    <w:p w14:paraId="0613B2DF" w14:textId="56DFA833" w:rsidR="00B03AD4" w:rsidRDefault="00B03AD4" w:rsidP="00B03AD4">
      <w:pPr>
        <w:spacing w:after="120" w:line="240" w:lineRule="auto"/>
        <w:rPr>
          <w:color w:val="000000" w:themeColor="text1"/>
        </w:rPr>
      </w:pPr>
      <w:r w:rsidRPr="13A774D0">
        <w:rPr>
          <w:color w:val="000000" w:themeColor="text1"/>
        </w:rPr>
        <w:lastRenderedPageBreak/>
        <w:t xml:space="preserve">For information on concurrent use of </w:t>
      </w:r>
      <w:r w:rsidR="004D7927">
        <w:rPr>
          <w:color w:val="000000" w:themeColor="text1"/>
        </w:rPr>
        <w:t xml:space="preserve">CAB </w:t>
      </w:r>
      <w:r>
        <w:rPr>
          <w:color w:val="000000" w:themeColor="text1"/>
        </w:rPr>
        <w:t xml:space="preserve">PrEP </w:t>
      </w:r>
      <w:r w:rsidRPr="0EE50CAE">
        <w:rPr>
          <w:color w:val="000000" w:themeColor="text1"/>
        </w:rPr>
        <w:t>with other PrEP products, see</w:t>
      </w:r>
      <w:r w:rsidR="00646280">
        <w:rPr>
          <w:color w:val="000000" w:themeColor="text1"/>
        </w:rPr>
        <w:t xml:space="preserve"> the</w:t>
      </w:r>
      <w:r>
        <w:rPr>
          <w:color w:val="000000" w:themeColor="text1"/>
        </w:rPr>
        <w:t xml:space="preserve"> </w:t>
      </w:r>
      <w:r>
        <w:rPr>
          <w:i/>
          <w:iCs/>
          <w:color w:val="000000" w:themeColor="text1"/>
        </w:rPr>
        <w:t xml:space="preserve">Switching Between PrEP Methods and Simultaneous Use </w:t>
      </w:r>
      <w:r>
        <w:rPr>
          <w:color w:val="000000" w:themeColor="text1"/>
        </w:rPr>
        <w:t>section below.</w:t>
      </w:r>
      <w:r w:rsidRPr="0EE50CAE">
        <w:rPr>
          <w:color w:val="000000" w:themeColor="text1"/>
        </w:rPr>
        <w:t xml:space="preserve"> </w:t>
      </w:r>
    </w:p>
    <w:p w14:paraId="0C93C8F4" w14:textId="699264FE" w:rsidR="00FE76E9" w:rsidRPr="00B25741" w:rsidRDefault="34B9A145">
      <w:pPr>
        <w:pStyle w:val="Heading3"/>
        <w:rPr>
          <w:rFonts w:asciiTheme="minorHAnsi" w:hAnsiTheme="minorHAnsi" w:cstheme="minorHAnsi"/>
        </w:rPr>
      </w:pPr>
      <w:bookmarkStart w:id="33" w:name="_Toc182989113"/>
      <w:r w:rsidRPr="00B25741">
        <w:rPr>
          <w:rFonts w:asciiTheme="minorHAnsi" w:hAnsiTheme="minorHAnsi" w:cstheme="minorHAnsi"/>
        </w:rPr>
        <w:t>Contraindications</w:t>
      </w:r>
      <w:r w:rsidR="5AF54D3D" w:rsidRPr="00B25741">
        <w:rPr>
          <w:rFonts w:asciiTheme="minorHAnsi" w:hAnsiTheme="minorHAnsi" w:cstheme="minorHAnsi"/>
        </w:rPr>
        <w:t xml:space="preserve"> for CAB PrEP Use</w:t>
      </w:r>
      <w:bookmarkEnd w:id="33"/>
    </w:p>
    <w:p w14:paraId="30396381" w14:textId="76C52152" w:rsidR="00AB0451" w:rsidRDefault="099F4DE8" w:rsidP="00AB0451">
      <w:r>
        <w:t>CAB PrEP should not be provided to people</w:t>
      </w:r>
      <w:r w:rsidR="1EAD539E">
        <w:t xml:space="preserve"> with</w:t>
      </w:r>
      <w:r>
        <w:t>:</w:t>
      </w:r>
    </w:p>
    <w:p w14:paraId="61BDE222" w14:textId="0FB6E30B" w:rsidR="007F6141" w:rsidRDefault="00CE04BB" w:rsidP="007F6141">
      <w:pPr>
        <w:pStyle w:val="ListParagraph"/>
        <w:numPr>
          <w:ilvl w:val="0"/>
          <w:numId w:val="27"/>
        </w:numPr>
      </w:pPr>
      <w:r>
        <w:t>An HIV-positive test result according to the national HIV testing algorithm</w:t>
      </w:r>
    </w:p>
    <w:p w14:paraId="4D31D863" w14:textId="10700C78" w:rsidR="00CE04BB" w:rsidRDefault="00FD394F" w:rsidP="00CE04BB">
      <w:pPr>
        <w:pStyle w:val="ListParagraph"/>
        <w:numPr>
          <w:ilvl w:val="0"/>
          <w:numId w:val="27"/>
        </w:numPr>
      </w:pPr>
      <w:r>
        <w:t>Potential</w:t>
      </w:r>
      <w:r w:rsidR="00CE04BB">
        <w:t xml:space="preserve"> exposure to HIV in the past 72 hours (</w:t>
      </w:r>
      <w:r w:rsidR="00A51145">
        <w:t>these</w:t>
      </w:r>
      <w:r w:rsidR="00CE04BB">
        <w:t xml:space="preserve"> clients </w:t>
      </w:r>
      <w:r w:rsidR="00A51145">
        <w:t>should be offered</w:t>
      </w:r>
      <w:r w:rsidR="00CE04BB">
        <w:t xml:space="preserve"> </w:t>
      </w:r>
      <w:r w:rsidR="00327C5D">
        <w:t>PEP</w:t>
      </w:r>
      <w:r w:rsidR="00A51145">
        <w:t>)</w:t>
      </w:r>
      <w:r w:rsidR="00327C5D">
        <w:t xml:space="preserve"> </w:t>
      </w:r>
    </w:p>
    <w:p w14:paraId="6A355268" w14:textId="69684160" w:rsidR="00D61224" w:rsidRPr="00880849" w:rsidRDefault="00327C5D" w:rsidP="00880849">
      <w:pPr>
        <w:pStyle w:val="ListParagraph"/>
        <w:numPr>
          <w:ilvl w:val="0"/>
          <w:numId w:val="27"/>
        </w:numPr>
        <w:rPr>
          <w:i/>
        </w:rPr>
      </w:pPr>
      <w:r>
        <w:t xml:space="preserve">Signs of AHI (Box 1) </w:t>
      </w:r>
      <w:r>
        <w:rPr>
          <w:i/>
          <w:iCs/>
        </w:rPr>
        <w:t xml:space="preserve">AND potential exposure within the past 14 days </w:t>
      </w:r>
    </w:p>
    <w:p w14:paraId="56AF048D" w14:textId="6C34D435" w:rsidR="00880849" w:rsidRPr="007F6141" w:rsidRDefault="41C9A4D6" w:rsidP="00880849">
      <w:pPr>
        <w:pStyle w:val="ListParagraph"/>
        <w:numPr>
          <w:ilvl w:val="0"/>
          <w:numId w:val="27"/>
        </w:numPr>
      </w:pPr>
      <w:r>
        <w:t>Some c</w:t>
      </w:r>
      <w:r w:rsidR="780383FA">
        <w:t>o-administered</w:t>
      </w:r>
      <w:r w:rsidR="18D141B6">
        <w:t xml:space="preserve"> </w:t>
      </w:r>
      <w:r w:rsidR="780383FA">
        <w:t xml:space="preserve">anticonvulsants or </w:t>
      </w:r>
      <w:proofErr w:type="spellStart"/>
      <w:r w:rsidR="780383FA">
        <w:t>antimycobacterials</w:t>
      </w:r>
      <w:proofErr w:type="spellEnd"/>
      <w:r w:rsidR="780383FA">
        <w:t xml:space="preserve"> (see</w:t>
      </w:r>
      <w:r w:rsidR="00CD43A6">
        <w:t xml:space="preserve"> the</w:t>
      </w:r>
      <w:r w:rsidR="780383FA">
        <w:t xml:space="preserve"> </w:t>
      </w:r>
      <w:r w:rsidR="780383FA" w:rsidRPr="00B25741">
        <w:rPr>
          <w:i/>
          <w:iCs/>
        </w:rPr>
        <w:t>CAB PrEP and Other Drug Interactions</w:t>
      </w:r>
      <w:r w:rsidR="780383FA">
        <w:t xml:space="preserve"> section above)</w:t>
      </w:r>
    </w:p>
    <w:p w14:paraId="46659979" w14:textId="77777777" w:rsidR="003616FB" w:rsidRPr="00361799" w:rsidRDefault="008D590A" w:rsidP="00DC3C07">
      <w:pPr>
        <w:pStyle w:val="ListParagraph"/>
        <w:numPr>
          <w:ilvl w:val="0"/>
          <w:numId w:val="27"/>
        </w:numPr>
      </w:pPr>
      <w:r>
        <w:rPr>
          <w:rFonts w:cstheme="minorHAnsi"/>
          <w:color w:val="000000"/>
        </w:rPr>
        <w:t>Unwillingness or inability</w:t>
      </w:r>
      <w:r w:rsidRPr="00606B35">
        <w:rPr>
          <w:rFonts w:cstheme="minorHAnsi"/>
          <w:color w:val="000000"/>
        </w:rPr>
        <w:t xml:space="preserve"> to commit to effectively using </w:t>
      </w:r>
      <w:r>
        <w:rPr>
          <w:rFonts w:cstheme="minorHAnsi"/>
          <w:color w:val="000000"/>
        </w:rPr>
        <w:t xml:space="preserve">CAB PrEP </w:t>
      </w:r>
    </w:p>
    <w:p w14:paraId="59EFCF70" w14:textId="0B0C23FD" w:rsidR="00DC3C07" w:rsidRPr="00DC3C07" w:rsidRDefault="00D26A0C" w:rsidP="00DC3C07">
      <w:pPr>
        <w:pStyle w:val="ListParagraph"/>
        <w:numPr>
          <w:ilvl w:val="0"/>
          <w:numId w:val="27"/>
        </w:numPr>
      </w:pPr>
      <w:r>
        <w:t>Allerg</w:t>
      </w:r>
      <w:r w:rsidR="007643F7">
        <w:t>ic</w:t>
      </w:r>
      <w:r>
        <w:t xml:space="preserve"> or hypersensitivity </w:t>
      </w:r>
      <w:r w:rsidR="00C558C8">
        <w:t xml:space="preserve">reaction(s) with previous use of </w:t>
      </w:r>
      <w:r w:rsidR="001E3426">
        <w:t>cabotegravir </w:t>
      </w:r>
      <w:r w:rsidR="00C558C8">
        <w:t xml:space="preserve">or other integrase inhibitor medications </w:t>
      </w:r>
    </w:p>
    <w:p w14:paraId="6F2547A2" w14:textId="13DBD0C9" w:rsidR="00FE76E9" w:rsidRPr="00B25741" w:rsidRDefault="00881DE6">
      <w:pPr>
        <w:pStyle w:val="Heading3"/>
        <w:rPr>
          <w:rFonts w:asciiTheme="minorHAnsi" w:hAnsiTheme="minorHAnsi" w:cstheme="minorHAnsi"/>
        </w:rPr>
      </w:pPr>
      <w:bookmarkStart w:id="34" w:name="_Toc182989114"/>
      <w:r w:rsidRPr="00B25741">
        <w:rPr>
          <w:rFonts w:asciiTheme="minorHAnsi" w:hAnsiTheme="minorHAnsi" w:cstheme="minorHAnsi"/>
        </w:rPr>
        <w:t>CAB PrEP Use</w:t>
      </w:r>
      <w:bookmarkEnd w:id="34"/>
    </w:p>
    <w:p w14:paraId="5AFF26E3" w14:textId="3433207F" w:rsidR="008A25A3" w:rsidRDefault="280B131C" w:rsidP="00C4147F">
      <w:r>
        <w:t xml:space="preserve">CAB PrEP is a </w:t>
      </w:r>
      <w:proofErr w:type="gramStart"/>
      <w:r>
        <w:t>PrEP</w:t>
      </w:r>
      <w:proofErr w:type="gramEnd"/>
      <w:r>
        <w:t xml:space="preserve"> method given as a</w:t>
      </w:r>
      <w:r w:rsidR="42FD79CA">
        <w:t xml:space="preserve"> 600mg</w:t>
      </w:r>
      <w:r w:rsidR="51CBF862">
        <w:t xml:space="preserve">, </w:t>
      </w:r>
      <w:r w:rsidR="007F0C10">
        <w:t>3</w:t>
      </w:r>
      <w:r w:rsidR="51CBF862">
        <w:t>ml</w:t>
      </w:r>
      <w:r w:rsidR="42FD79CA">
        <w:t xml:space="preserve"> </w:t>
      </w:r>
      <w:r>
        <w:t xml:space="preserve">injection into the gluteal </w:t>
      </w:r>
      <w:r w:rsidR="48753E8C">
        <w:t>muscle in the buttocks</w:t>
      </w:r>
      <w:r w:rsidR="12E163D3">
        <w:t>.</w:t>
      </w:r>
      <w:r w:rsidR="48753E8C">
        <w:t xml:space="preserve"> </w:t>
      </w:r>
      <w:r w:rsidR="45C4EE6C">
        <w:t>The</w:t>
      </w:r>
      <w:r w:rsidR="79F29A12">
        <w:t xml:space="preserve"> first two injections </w:t>
      </w:r>
      <w:r w:rsidR="45C4EE6C">
        <w:t xml:space="preserve">are </w:t>
      </w:r>
      <w:r w:rsidR="00E15A3B">
        <w:t>one month</w:t>
      </w:r>
      <w:r w:rsidR="45C4EE6C">
        <w:t xml:space="preserve"> apart</w:t>
      </w:r>
      <w:r w:rsidR="002515C6">
        <w:t>,</w:t>
      </w:r>
      <w:r w:rsidR="45C4EE6C">
        <w:t xml:space="preserve"> followed by injections</w:t>
      </w:r>
      <w:r w:rsidR="79F29A12">
        <w:t xml:space="preserve"> every </w:t>
      </w:r>
      <w:r w:rsidR="00E15A3B">
        <w:t>two months</w:t>
      </w:r>
      <w:r w:rsidR="48753E8C">
        <w:t>.</w:t>
      </w:r>
      <w:r w:rsidR="00666CF5">
        <w:t xml:space="preserve"> </w:t>
      </w:r>
      <w:r w:rsidR="5FDF3EA2">
        <w:t>The current evidence shows i</w:t>
      </w:r>
      <w:r w:rsidR="578F23F2">
        <w:t xml:space="preserve">t takes about one week for </w:t>
      </w:r>
      <w:r w:rsidR="2B628475">
        <w:t>drug concentrations to reach levels a</w:t>
      </w:r>
      <w:r w:rsidR="002515C6">
        <w:t>t which</w:t>
      </w:r>
      <w:r w:rsidR="2B628475">
        <w:t xml:space="preserve"> </w:t>
      </w:r>
      <w:r w:rsidR="578F23F2">
        <w:t xml:space="preserve">CAB PrEP </w:t>
      </w:r>
      <w:r w:rsidR="002515C6">
        <w:t xml:space="preserve">is expected </w:t>
      </w:r>
      <w:r w:rsidR="578F23F2">
        <w:t xml:space="preserve">to </w:t>
      </w:r>
      <w:r w:rsidR="591EFB0A">
        <w:t>be maximally effective</w:t>
      </w:r>
      <w:r w:rsidR="578F23F2">
        <w:t xml:space="preserve"> after </w:t>
      </w:r>
      <w:r w:rsidR="2C76EF88">
        <w:t>initiation</w:t>
      </w:r>
      <w:r w:rsidR="1C3A4C20">
        <w:t xml:space="preserve"> </w:t>
      </w:r>
      <w:r w:rsidR="578F23F2">
        <w:t>injection</w:t>
      </w:r>
      <w:r w:rsidR="2C76EF88">
        <w:t xml:space="preserve"> 1</w:t>
      </w:r>
      <w:r w:rsidR="578F23F2">
        <w:t xml:space="preserve">, so clients should be counseled on </w:t>
      </w:r>
      <w:r w:rsidR="12BF0A93" w:rsidRPr="0031537C">
        <w:t xml:space="preserve">using </w:t>
      </w:r>
      <w:r w:rsidR="578F23F2" w:rsidRPr="0031537C">
        <w:t xml:space="preserve">another </w:t>
      </w:r>
      <w:r w:rsidR="1F7CFDB9" w:rsidRPr="0031537C">
        <w:t xml:space="preserve">HIV prevention strategy </w:t>
      </w:r>
      <w:r w:rsidR="578F23F2" w:rsidRPr="0031537C">
        <w:t>during th</w:t>
      </w:r>
      <w:r w:rsidR="00C20137" w:rsidRPr="0031537C">
        <w:t>e first week</w:t>
      </w:r>
      <w:r w:rsidR="578F23F2" w:rsidRPr="0031537C">
        <w:t xml:space="preserve">. </w:t>
      </w:r>
      <w:r w:rsidR="7A8FCB0C" w:rsidRPr="0031537C">
        <w:t xml:space="preserve">The medication </w:t>
      </w:r>
      <w:r w:rsidR="02937999" w:rsidRPr="0031537C">
        <w:t>will</w:t>
      </w:r>
      <w:r w:rsidR="7A8FCB0C" w:rsidRPr="0031537C">
        <w:t xml:space="preserve"> stay in the body after a client stops using CAB PrEP</w:t>
      </w:r>
      <w:r w:rsidR="000C28F1" w:rsidRPr="0031537C">
        <w:t xml:space="preserve"> because of its long half-life</w:t>
      </w:r>
      <w:r w:rsidR="6472AA4F" w:rsidRPr="0031537C">
        <w:t>,</w:t>
      </w:r>
      <w:r w:rsidR="1FA56F94" w:rsidRPr="0031537C">
        <w:t xml:space="preserve"> </w:t>
      </w:r>
      <w:r w:rsidR="1A3B39B9" w:rsidRPr="0031537C">
        <w:t>but</w:t>
      </w:r>
      <w:r w:rsidR="7DE603FE" w:rsidRPr="0031537C">
        <w:t xml:space="preserve"> at</w:t>
      </w:r>
      <w:r w:rsidR="7DE603FE">
        <w:t xml:space="preserve"> levels that may not prevent HIV</w:t>
      </w:r>
      <w:r w:rsidR="6472AA4F">
        <w:t xml:space="preserve">. </w:t>
      </w:r>
    </w:p>
    <w:p w14:paraId="72E575E7" w14:textId="6EF69EC2" w:rsidR="004F0275" w:rsidRPr="00B25741" w:rsidRDefault="00F271E4" w:rsidP="00F271E4">
      <w:pPr>
        <w:pStyle w:val="Heading4"/>
        <w:rPr>
          <w:rFonts w:asciiTheme="minorHAnsi" w:hAnsiTheme="minorHAnsi" w:cstheme="minorHAnsi"/>
          <w:i w:val="0"/>
          <w:iCs w:val="0"/>
        </w:rPr>
      </w:pPr>
      <w:bookmarkStart w:id="35" w:name="_Toc182989115"/>
      <w:r w:rsidRPr="00B25741">
        <w:rPr>
          <w:rFonts w:asciiTheme="minorHAnsi" w:hAnsiTheme="minorHAnsi" w:cstheme="minorHAnsi"/>
          <w:i w:val="0"/>
          <w:iCs w:val="0"/>
        </w:rPr>
        <w:t>Starting CAB PrEP</w:t>
      </w:r>
      <w:bookmarkEnd w:id="35"/>
    </w:p>
    <w:p w14:paraId="72305373" w14:textId="480C8113" w:rsidR="007B4595" w:rsidRDefault="008C7ACD" w:rsidP="00323055">
      <w:r>
        <w:t xml:space="preserve">CAB PrEP injections can be given by </w:t>
      </w:r>
      <w:r w:rsidR="003164FF">
        <w:t xml:space="preserve">providers in </w:t>
      </w:r>
      <w:r>
        <w:t>nationally approved health</w:t>
      </w:r>
      <w:r w:rsidR="00E93D0D">
        <w:t xml:space="preserve"> </w:t>
      </w:r>
      <w:r>
        <w:t xml:space="preserve">care cadres. </w:t>
      </w:r>
      <w:r w:rsidR="009B52FF">
        <w:t>The injection requires a needle appropriately sized for the client’s height and weight, using clinical judgement. In [</w:t>
      </w:r>
      <w:r w:rsidR="009B52FF" w:rsidRPr="00F23EDF">
        <w:rPr>
          <w:color w:val="FF0000"/>
        </w:rPr>
        <w:t>country</w:t>
      </w:r>
      <w:r w:rsidR="009B52FF">
        <w:t>] the recommended injection site is [</w:t>
      </w:r>
      <w:proofErr w:type="spellStart"/>
      <w:r w:rsidR="009B52FF" w:rsidRPr="00F23EDF">
        <w:rPr>
          <w:color w:val="FF0000"/>
        </w:rPr>
        <w:t>dorsogluteal</w:t>
      </w:r>
      <w:proofErr w:type="spellEnd"/>
      <w:r w:rsidR="009B52FF" w:rsidRPr="00F23EDF">
        <w:rPr>
          <w:color w:val="FF0000"/>
        </w:rPr>
        <w:t xml:space="preserve"> OR ventrogluteal</w:t>
      </w:r>
      <w:r w:rsidR="009B52FF">
        <w:t xml:space="preserve">].  </w:t>
      </w:r>
      <w:r w:rsidR="00D236B6">
        <w:t xml:space="preserve">The provider </w:t>
      </w:r>
      <w:r w:rsidR="00564DBA">
        <w:t xml:space="preserve">can </w:t>
      </w:r>
      <w:r w:rsidR="00D236B6">
        <w:t xml:space="preserve">position the client on their </w:t>
      </w:r>
      <w:r w:rsidR="00692603">
        <w:t>side, in</w:t>
      </w:r>
      <w:r w:rsidR="00D236B6">
        <w:t xml:space="preserve"> a prone position</w:t>
      </w:r>
      <w:r w:rsidR="00692603">
        <w:t>, or in another position comfortable for the client,</w:t>
      </w:r>
      <w:r w:rsidR="00D236B6">
        <w:t xml:space="preserve"> and </w:t>
      </w:r>
      <w:r w:rsidR="00692603">
        <w:t xml:space="preserve">should </w:t>
      </w:r>
      <w:r w:rsidR="00D236B6">
        <w:t>clean the injection si</w:t>
      </w:r>
      <w:r w:rsidR="00274814">
        <w:t xml:space="preserve">te on </w:t>
      </w:r>
      <w:r w:rsidR="0047342C">
        <w:t xml:space="preserve">the gluteal muscle on the side or back of the buttocks. </w:t>
      </w:r>
      <w:r w:rsidR="002F2A05">
        <w:t>It is best to inject the medication as soon as possible once the injection site has been cleaned, though the m</w:t>
      </w:r>
      <w:r w:rsidR="00A621E4">
        <w:t>edication can remain in the syringe for up to two hours. If th</w:t>
      </w:r>
      <w:r w:rsidR="00331042">
        <w:t>at</w:t>
      </w:r>
      <w:r w:rsidR="00A621E4">
        <w:t xml:space="preserve"> time limit is exceeded, discard the medicine, syringe, and needle; do not attempt to keep the medicine fresh by refrigerating it. </w:t>
      </w:r>
      <w:r w:rsidR="00EF2262">
        <w:t xml:space="preserve">The provider should use the z-track method to administer the injection. </w:t>
      </w:r>
      <w:r w:rsidR="00741E9F">
        <w:t xml:space="preserve">After the injection, the provider can </w:t>
      </w:r>
      <w:r w:rsidR="0023399B">
        <w:t xml:space="preserve">use dry </w:t>
      </w:r>
      <w:r w:rsidR="00484301">
        <w:t>gauze</w:t>
      </w:r>
      <w:r w:rsidR="0023399B">
        <w:t xml:space="preserve"> to apply gentle pressure to the puncture site and, if needed or requested by the client, apply an adhesive bandage</w:t>
      </w:r>
      <w:r w:rsidR="00484301">
        <w:t xml:space="preserve">. </w:t>
      </w:r>
    </w:p>
    <w:p w14:paraId="67E96133" w14:textId="6C081C3C" w:rsidR="00BF4243" w:rsidRPr="00323055" w:rsidRDefault="00EF2583" w:rsidP="00323055">
      <w:r>
        <w:t>Ideally, a client with ongoing HIV exposure who choses CAB PrEP would have the following injection schedule:</w:t>
      </w:r>
    </w:p>
    <w:p w14:paraId="1FB24E42" w14:textId="01F65D33" w:rsidR="00EF2583" w:rsidRPr="00323055" w:rsidRDefault="00EB2348" w:rsidP="00AC4154">
      <w:pPr>
        <w:pStyle w:val="ListParagraph"/>
        <w:numPr>
          <w:ilvl w:val="0"/>
          <w:numId w:val="58"/>
        </w:numPr>
      </w:pPr>
      <w:r>
        <w:t>First</w:t>
      </w:r>
      <w:r w:rsidR="00E71C9D">
        <w:t>/initiation injection 1</w:t>
      </w:r>
      <w:r>
        <w:t>: month 0</w:t>
      </w:r>
    </w:p>
    <w:p w14:paraId="5A6376DF" w14:textId="27DCF1F7" w:rsidR="00EB2348" w:rsidRPr="00323055" w:rsidRDefault="00EB2348" w:rsidP="00AC4154">
      <w:pPr>
        <w:pStyle w:val="ListParagraph"/>
        <w:numPr>
          <w:ilvl w:val="0"/>
          <w:numId w:val="58"/>
        </w:numPr>
      </w:pPr>
      <w:r>
        <w:t xml:space="preserve">Second </w:t>
      </w:r>
      <w:r w:rsidR="00E71C9D">
        <w:t>/initiation injection 2: one month (+/- 7 days) after injection 1</w:t>
      </w:r>
    </w:p>
    <w:p w14:paraId="414B0AA9" w14:textId="0E301AF1" w:rsidR="00E71C9D" w:rsidRPr="00323055" w:rsidRDefault="00E71C9D" w:rsidP="0014481C">
      <w:pPr>
        <w:pStyle w:val="ListParagraph"/>
        <w:numPr>
          <w:ilvl w:val="0"/>
          <w:numId w:val="58"/>
        </w:numPr>
      </w:pPr>
      <w:r>
        <w:t xml:space="preserve">Third </w:t>
      </w:r>
      <w:r w:rsidR="0029363C">
        <w:t>/</w:t>
      </w:r>
      <w:r>
        <w:t xml:space="preserve"> subsequent</w:t>
      </w:r>
      <w:r w:rsidR="001303B2">
        <w:t xml:space="preserve"> </w:t>
      </w:r>
      <w:r>
        <w:t>follow-up injections: two months (+/- 7 days) after the previous injection</w:t>
      </w:r>
    </w:p>
    <w:p w14:paraId="70AE6F79" w14:textId="5BDB0F4E" w:rsidR="00F271E4" w:rsidRPr="00B25741" w:rsidRDefault="00F271E4" w:rsidP="00F271E4">
      <w:pPr>
        <w:pStyle w:val="Heading4"/>
        <w:rPr>
          <w:rFonts w:asciiTheme="minorHAnsi" w:hAnsiTheme="minorHAnsi" w:cstheme="minorHAnsi"/>
          <w:i w:val="0"/>
          <w:iCs w:val="0"/>
        </w:rPr>
      </w:pPr>
      <w:bookmarkStart w:id="36" w:name="_Toc182989116"/>
      <w:r w:rsidRPr="00B25741">
        <w:rPr>
          <w:rFonts w:asciiTheme="minorHAnsi" w:hAnsiTheme="minorHAnsi" w:cstheme="minorHAnsi"/>
          <w:i w:val="0"/>
          <w:iCs w:val="0"/>
        </w:rPr>
        <w:t>Stopping CAB PrEP</w:t>
      </w:r>
      <w:bookmarkEnd w:id="36"/>
    </w:p>
    <w:p w14:paraId="2E4B06AB" w14:textId="282E58E1" w:rsidR="00A34080" w:rsidRDefault="7305D919" w:rsidP="00A40BBC">
      <w:r>
        <w:t>If a client de</w:t>
      </w:r>
      <w:r w:rsidR="7B5CA674">
        <w:t>cides</w:t>
      </w:r>
      <w:r w:rsidR="00EF181E" w:rsidDel="7305D919">
        <w:t xml:space="preserve"> </w:t>
      </w:r>
      <w:r>
        <w:t>to stop using CAB PrEP</w:t>
      </w:r>
      <w:r w:rsidR="2E0F11FD">
        <w:t>,</w:t>
      </w:r>
      <w:r>
        <w:t xml:space="preserve"> </w:t>
      </w:r>
      <w:r w:rsidR="5D8ED038">
        <w:t>they may stop receiving injections</w:t>
      </w:r>
      <w:r w:rsidR="7F10E417">
        <w:t>.</w:t>
      </w:r>
      <w:r w:rsidR="316397F4">
        <w:t xml:space="preserve"> </w:t>
      </w:r>
      <w:r w:rsidR="002F08B5">
        <w:t xml:space="preserve">The amount of </w:t>
      </w:r>
      <w:r w:rsidR="00737F55">
        <w:t>cabotegravir</w:t>
      </w:r>
      <w:r w:rsidR="42E98592">
        <w:t xml:space="preserve"> </w:t>
      </w:r>
      <w:r w:rsidR="002F08B5">
        <w:t xml:space="preserve">in the blood </w:t>
      </w:r>
      <w:r w:rsidR="42E98592">
        <w:t>remain</w:t>
      </w:r>
      <w:r w:rsidR="002F08B5">
        <w:t>s</w:t>
      </w:r>
      <w:r w:rsidR="42E98592">
        <w:t xml:space="preserve"> at effective levels for at least </w:t>
      </w:r>
      <w:r w:rsidR="00F154AD">
        <w:t>eight</w:t>
      </w:r>
      <w:r w:rsidR="00E509F5">
        <w:t xml:space="preserve"> weeks</w:t>
      </w:r>
      <w:r w:rsidR="42E98592">
        <w:t xml:space="preserve"> after the final injection.</w:t>
      </w:r>
      <w:r w:rsidR="0024710A">
        <w:rPr>
          <w:rStyle w:val="FootnoteReference"/>
        </w:rPr>
        <w:footnoteReference w:id="30"/>
      </w:r>
      <w:r w:rsidR="405170E2">
        <w:t xml:space="preserve"> </w:t>
      </w:r>
      <w:r w:rsidR="31E89CA5">
        <w:t xml:space="preserve">The time after the last CAB PrEP injection </w:t>
      </w:r>
      <w:r w:rsidR="00F616FA">
        <w:t>when</w:t>
      </w:r>
      <w:r w:rsidR="79A46198">
        <w:t xml:space="preserve"> </w:t>
      </w:r>
      <w:r w:rsidR="31ED0FD4">
        <w:t xml:space="preserve">cabotegravir remains in the body </w:t>
      </w:r>
      <w:r w:rsidR="7B88C2A0">
        <w:t xml:space="preserve">but </w:t>
      </w:r>
      <w:r w:rsidR="31ED0FD4">
        <w:t xml:space="preserve">at levels that may not prevent HIV </w:t>
      </w:r>
      <w:r w:rsidR="18D5C0B4">
        <w:t>is known as the “tail period”</w:t>
      </w:r>
      <w:r w:rsidR="28E371D0">
        <w:t xml:space="preserve"> </w:t>
      </w:r>
      <w:r w:rsidR="00DD6ECC">
        <w:t>s</w:t>
      </w:r>
      <w:r w:rsidR="28E371D0">
        <w:t xml:space="preserve">ee </w:t>
      </w:r>
      <w:r w:rsidR="28E371D0" w:rsidRPr="00B25741">
        <w:rPr>
          <w:i/>
          <w:iCs/>
        </w:rPr>
        <w:t xml:space="preserve">Figure </w:t>
      </w:r>
      <w:r w:rsidR="00847111">
        <w:rPr>
          <w:i/>
          <w:iCs/>
        </w:rPr>
        <w:t>5</w:t>
      </w:r>
      <w:r w:rsidR="28E371D0">
        <w:t>).</w:t>
      </w:r>
    </w:p>
    <w:p w14:paraId="1F9D14D0" w14:textId="15148708" w:rsidR="00A34080" w:rsidRDefault="00A34080" w:rsidP="00A40BBC">
      <w:pPr>
        <w:rPr>
          <w:b/>
          <w:bCs/>
        </w:rPr>
      </w:pPr>
      <w:r w:rsidRPr="003F36EE">
        <w:rPr>
          <w:b/>
          <w:bCs/>
        </w:rPr>
        <w:t xml:space="preserve">Figure </w:t>
      </w:r>
      <w:r w:rsidR="00847111">
        <w:rPr>
          <w:b/>
          <w:bCs/>
        </w:rPr>
        <w:t>5</w:t>
      </w:r>
      <w:r w:rsidR="0084063D">
        <w:rPr>
          <w:b/>
          <w:bCs/>
        </w:rPr>
        <w:t>.</w:t>
      </w:r>
      <w:r w:rsidRPr="003F36EE">
        <w:rPr>
          <w:b/>
          <w:bCs/>
        </w:rPr>
        <w:t xml:space="preserve"> CAB PrEP “tail period”</w:t>
      </w:r>
    </w:p>
    <w:p w14:paraId="4D6F89E8" w14:textId="2EE15A83" w:rsidR="00A34080" w:rsidRDefault="00A34080" w:rsidP="00DC7D42">
      <w:pPr>
        <w:jc w:val="center"/>
      </w:pPr>
      <w:r>
        <w:rPr>
          <w:noProof/>
        </w:rPr>
        <w:lastRenderedPageBreak/>
        <w:drawing>
          <wp:inline distT="0" distB="0" distL="0" distR="0" wp14:anchorId="1C1A3A2C" wp14:editId="7E2C50F1">
            <wp:extent cx="4606329" cy="2372264"/>
            <wp:effectExtent l="0" t="0" r="3810" b="952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663243" cy="2401575"/>
                    </a:xfrm>
                    <a:prstGeom prst="rect">
                      <a:avLst/>
                    </a:prstGeom>
                  </pic:spPr>
                </pic:pic>
              </a:graphicData>
            </a:graphic>
          </wp:inline>
        </w:drawing>
      </w:r>
    </w:p>
    <w:p w14:paraId="17B2B9AF" w14:textId="14969222" w:rsidR="00A40BBC" w:rsidRDefault="2E14595D" w:rsidP="00A40BBC">
      <w:r w:rsidRPr="00A34080">
        <w:t>T</w:t>
      </w:r>
      <w:r w:rsidR="1E362E49" w:rsidRPr="00A34080">
        <w:t xml:space="preserve">he “tail period” </w:t>
      </w:r>
      <w:r w:rsidR="5B7E1051" w:rsidRPr="00A34080">
        <w:t>can last for up to a year</w:t>
      </w:r>
      <w:r w:rsidR="00032712">
        <w:t>,</w:t>
      </w:r>
      <w:r w:rsidR="6C841571" w:rsidRPr="00A34080">
        <w:t xml:space="preserve"> but this time frame varies for people </w:t>
      </w:r>
      <w:r w:rsidR="1D6D5EF9" w:rsidRPr="00A34080">
        <w:t>based on sex assigned at birth</w:t>
      </w:r>
      <w:r w:rsidR="1E362E49" w:rsidRPr="00A34080">
        <w:t>.</w:t>
      </w:r>
      <w:r w:rsidR="008845C6" w:rsidRPr="00DC7D42">
        <w:rPr>
          <w:rStyle w:val="FootnoteReference"/>
        </w:rPr>
        <w:footnoteReference w:id="31"/>
      </w:r>
      <w:r w:rsidR="1E362E49" w:rsidRPr="00E93B73">
        <w:t xml:space="preserve"> </w:t>
      </w:r>
      <w:r w:rsidR="00614BFD">
        <w:t>D</w:t>
      </w:r>
      <w:r w:rsidR="1E362E49">
        <w:t>ata on HIV acquisition during the tail period</w:t>
      </w:r>
      <w:r w:rsidR="00614BFD">
        <w:t xml:space="preserve"> are limited. F</w:t>
      </w:r>
      <w:r w:rsidR="1E362E49">
        <w:t>or those who do acquire HIV during this time, delayed diagnosis of HIV may be possible and coul</w:t>
      </w:r>
      <w:r w:rsidR="6E3D62AD">
        <w:t>d</w:t>
      </w:r>
      <w:r w:rsidR="1E362E49">
        <w:t xml:space="preserve"> result in HIV drug resistance</w:t>
      </w:r>
      <w:r w:rsidR="00BD6053">
        <w:t>, meaning</w:t>
      </w:r>
      <w:r w:rsidR="009C382D">
        <w:t xml:space="preserve"> that medicines used to treat HIV may be less effective or not work at all</w:t>
      </w:r>
      <w:r w:rsidR="00577679">
        <w:t xml:space="preserve">. </w:t>
      </w:r>
      <w:r w:rsidR="54B7EEA8">
        <w:t xml:space="preserve">As with all PrEP methods, if a client discontinues CAB PrEP, they should use another PrEP method or HIV prevention strategy </w:t>
      </w:r>
      <w:r w:rsidR="003833CB">
        <w:t xml:space="preserve">during the tail period </w:t>
      </w:r>
      <w:r w:rsidR="54B7EEA8">
        <w:t xml:space="preserve">if exposure to HIV is possible. </w:t>
      </w:r>
    </w:p>
    <w:p w14:paraId="1C3D90AB" w14:textId="6BDBF9A7" w:rsidR="0044582B" w:rsidRDefault="173F17C2" w:rsidP="0044582B">
      <w:r>
        <w:t xml:space="preserve">If </w:t>
      </w:r>
      <w:r w:rsidR="386A1C5F">
        <w:t>a client</w:t>
      </w:r>
      <w:r>
        <w:t xml:space="preserve"> </w:t>
      </w:r>
      <w:r w:rsidR="2C6563DD">
        <w:t>has a potential</w:t>
      </w:r>
      <w:r>
        <w:t xml:space="preserve"> expos</w:t>
      </w:r>
      <w:r w:rsidR="7FF85ED3">
        <w:t>ure</w:t>
      </w:r>
      <w:r>
        <w:t xml:space="preserve"> to HIV during the tail period </w:t>
      </w:r>
      <w:r w:rsidR="060734E3">
        <w:t>while</w:t>
      </w:r>
      <w:r>
        <w:t xml:space="preserve"> not </w:t>
      </w:r>
      <w:r w:rsidR="0905CEEF">
        <w:t>using an</w:t>
      </w:r>
      <w:r w:rsidR="0B936D83">
        <w:t xml:space="preserve"> HIV prevention </w:t>
      </w:r>
      <w:r w:rsidR="009C382D">
        <w:t xml:space="preserve">strategy, </w:t>
      </w:r>
      <w:r w:rsidR="00C07107">
        <w:t>they</w:t>
      </w:r>
      <w:r w:rsidR="4D7E403A">
        <w:t xml:space="preserve"> should speak to a health</w:t>
      </w:r>
      <w:r w:rsidR="00C07107">
        <w:t xml:space="preserve"> </w:t>
      </w:r>
      <w:r w:rsidR="4D7E403A">
        <w:t xml:space="preserve">care provider as soon as possible </w:t>
      </w:r>
      <w:r w:rsidR="00C07107">
        <w:t>bec</w:t>
      </w:r>
      <w:r w:rsidR="4D7E403A">
        <w:t>a</w:t>
      </w:r>
      <w:r w:rsidR="00C07107">
        <w:t>u</w:t>
      </w:r>
      <w:r w:rsidR="4D7E403A">
        <w:t>s</w:t>
      </w:r>
      <w:r w:rsidR="00C07107">
        <w:t>e</w:t>
      </w:r>
      <w:r>
        <w:t xml:space="preserve"> </w:t>
      </w:r>
      <w:r w:rsidR="386A1C5F">
        <w:t>PEP</w:t>
      </w:r>
      <w:r>
        <w:t xml:space="preserve"> may be </w:t>
      </w:r>
      <w:r w:rsidR="2238CD93">
        <w:t>appropriate</w:t>
      </w:r>
      <w:r w:rsidR="68933AD2">
        <w:t xml:space="preserve"> and ideally </w:t>
      </w:r>
      <w:r w:rsidR="00CD05FF">
        <w:t xml:space="preserve">should </w:t>
      </w:r>
      <w:r w:rsidR="68933AD2">
        <w:t xml:space="preserve">be started </w:t>
      </w:r>
      <w:r w:rsidR="00DB1B47">
        <w:t>as soon as possible</w:t>
      </w:r>
      <w:r w:rsidR="00112BA2">
        <w:t xml:space="preserve"> </w:t>
      </w:r>
      <w:r w:rsidR="008B5F95">
        <w:t xml:space="preserve">ideally </w:t>
      </w:r>
      <w:r w:rsidR="68933AD2">
        <w:t>within</w:t>
      </w:r>
      <w:r w:rsidR="008B5F95">
        <w:t xml:space="preserve"> 24 hours but not later than</w:t>
      </w:r>
      <w:r w:rsidR="68933AD2">
        <w:t xml:space="preserve"> 72 hours of potential exposure</w:t>
      </w:r>
      <w:r w:rsidR="2238CD93">
        <w:t xml:space="preserve">. </w:t>
      </w:r>
    </w:p>
    <w:p w14:paraId="09D53068" w14:textId="53FF66B1" w:rsidR="004661AB" w:rsidRPr="00B25741" w:rsidRDefault="004661AB" w:rsidP="004661AB">
      <w:pPr>
        <w:pStyle w:val="Heading4"/>
        <w:rPr>
          <w:rFonts w:asciiTheme="minorHAnsi" w:hAnsiTheme="minorHAnsi" w:cstheme="minorHAnsi"/>
          <w:i w:val="0"/>
          <w:iCs w:val="0"/>
        </w:rPr>
      </w:pPr>
      <w:bookmarkStart w:id="37" w:name="_Toc182989117"/>
      <w:r w:rsidRPr="00B25741">
        <w:rPr>
          <w:rFonts w:asciiTheme="minorHAnsi" w:hAnsiTheme="minorHAnsi" w:cstheme="minorHAnsi"/>
          <w:i w:val="0"/>
          <w:iCs w:val="0"/>
        </w:rPr>
        <w:t>Missing a</w:t>
      </w:r>
      <w:r w:rsidR="711786E0" w:rsidRPr="00B25741">
        <w:rPr>
          <w:rFonts w:asciiTheme="minorHAnsi" w:hAnsiTheme="minorHAnsi" w:cstheme="minorHAnsi"/>
          <w:i w:val="0"/>
          <w:iCs w:val="0"/>
        </w:rPr>
        <w:t>n Injection</w:t>
      </w:r>
      <w:bookmarkEnd w:id="37"/>
      <w:r w:rsidR="00CE2E44" w:rsidRPr="00B25741">
        <w:rPr>
          <w:rFonts w:asciiTheme="minorHAnsi" w:hAnsiTheme="minorHAnsi" w:cstheme="minorHAnsi"/>
          <w:i w:val="0"/>
          <w:iCs w:val="0"/>
        </w:rPr>
        <w:t xml:space="preserve"> </w:t>
      </w:r>
    </w:p>
    <w:p w14:paraId="253E877F" w14:textId="3131E589" w:rsidR="004661AB" w:rsidRPr="00A35D25" w:rsidRDefault="02DED8DA" w:rsidP="00A35D25">
      <w:r>
        <w:t xml:space="preserve">Adherence to the injection schedule is important to effective use of CAB PrEP. </w:t>
      </w:r>
      <w:r w:rsidR="007C61A2">
        <w:t>A c</w:t>
      </w:r>
      <w:r w:rsidR="71374A63">
        <w:t>lient who miss</w:t>
      </w:r>
      <w:r w:rsidR="007C61A2">
        <w:t>es</w:t>
      </w:r>
      <w:r w:rsidR="71374A63">
        <w:t xml:space="preserve"> a</w:t>
      </w:r>
      <w:r w:rsidR="4A433DBB">
        <w:t xml:space="preserve">n injection </w:t>
      </w:r>
      <w:r w:rsidR="71374A63">
        <w:t xml:space="preserve">should contact their health care provider immediately </w:t>
      </w:r>
      <w:r w:rsidR="431A8981">
        <w:t xml:space="preserve">to </w:t>
      </w:r>
      <w:r w:rsidR="28708305">
        <w:t>get advice about how to continue using CAB PrEP</w:t>
      </w:r>
      <w:r w:rsidR="431A8981">
        <w:t xml:space="preserve"> or to </w:t>
      </w:r>
      <w:r w:rsidR="008428ED">
        <w:t>tal</w:t>
      </w:r>
      <w:r w:rsidR="431A8981">
        <w:t xml:space="preserve">k about switching to a different HIV prevention </w:t>
      </w:r>
      <w:r w:rsidR="2BD21317">
        <w:t>strategy</w:t>
      </w:r>
      <w:r w:rsidR="589E1F38">
        <w:t>, which may include using another PrEP method</w:t>
      </w:r>
      <w:r w:rsidR="2BD21317">
        <w:t xml:space="preserve">. </w:t>
      </w:r>
      <w:r w:rsidR="009224B1">
        <w:t>Suggested proce</w:t>
      </w:r>
      <w:r w:rsidR="00685983">
        <w:t xml:space="preserve">dures for clients who miss a scheduled CAB PrEP injection are detailed </w:t>
      </w:r>
      <w:r w:rsidR="00E27F33">
        <w:t>as follows</w:t>
      </w:r>
      <w:r w:rsidR="00685983">
        <w:t>:</w:t>
      </w:r>
    </w:p>
    <w:tbl>
      <w:tblPr>
        <w:tblW w:w="0" w:type="auto"/>
        <w:tblLook w:val="04A0" w:firstRow="1" w:lastRow="0" w:firstColumn="1" w:lastColumn="0" w:noHBand="0" w:noVBand="1"/>
      </w:tblPr>
      <w:tblGrid>
        <w:gridCol w:w="2160"/>
        <w:gridCol w:w="2610"/>
        <w:gridCol w:w="5696"/>
      </w:tblGrid>
      <w:tr w:rsidR="00685983" w:rsidRPr="001A459D" w14:paraId="7F65D258" w14:textId="77777777" w:rsidTr="0014481C">
        <w:tc>
          <w:tcPr>
            <w:tcW w:w="2160" w:type="dxa"/>
            <w:tcBorders>
              <w:bottom w:val="single" w:sz="4" w:space="0" w:color="auto"/>
            </w:tcBorders>
            <w:shd w:val="clear" w:color="auto" w:fill="auto"/>
          </w:tcPr>
          <w:p w14:paraId="23CC4F5C" w14:textId="77777777" w:rsidR="00685983" w:rsidRPr="001A459D" w:rsidRDefault="00685983">
            <w:pPr>
              <w:spacing w:after="120"/>
              <w:rPr>
                <w:i/>
                <w:iCs/>
              </w:rPr>
            </w:pPr>
            <w:r>
              <w:rPr>
                <w:i/>
                <w:iCs/>
              </w:rPr>
              <w:t>Missed injection type</w:t>
            </w:r>
          </w:p>
        </w:tc>
        <w:tc>
          <w:tcPr>
            <w:tcW w:w="2610" w:type="dxa"/>
            <w:tcBorders>
              <w:bottom w:val="single" w:sz="4" w:space="0" w:color="auto"/>
            </w:tcBorders>
            <w:shd w:val="clear" w:color="auto" w:fill="auto"/>
          </w:tcPr>
          <w:p w14:paraId="700D5249" w14:textId="77777777" w:rsidR="00685983" w:rsidRPr="001A459D" w:rsidRDefault="00685983">
            <w:pPr>
              <w:spacing w:after="120"/>
              <w:rPr>
                <w:i/>
                <w:iCs/>
              </w:rPr>
            </w:pPr>
            <w:r w:rsidRPr="001A459D">
              <w:rPr>
                <w:i/>
                <w:iCs/>
              </w:rPr>
              <w:t>Time since last injection</w:t>
            </w:r>
          </w:p>
        </w:tc>
        <w:tc>
          <w:tcPr>
            <w:tcW w:w="5696" w:type="dxa"/>
            <w:tcBorders>
              <w:bottom w:val="single" w:sz="4" w:space="0" w:color="auto"/>
            </w:tcBorders>
            <w:shd w:val="clear" w:color="auto" w:fill="auto"/>
          </w:tcPr>
          <w:p w14:paraId="4A1AC0DE" w14:textId="77777777" w:rsidR="00685983" w:rsidRPr="001A459D" w:rsidRDefault="00685983">
            <w:pPr>
              <w:spacing w:after="120"/>
            </w:pPr>
            <w:r w:rsidRPr="001A459D">
              <w:t>Recommended action for provider</w:t>
            </w:r>
          </w:p>
        </w:tc>
      </w:tr>
      <w:tr w:rsidR="00685983" w:rsidRPr="00030457" w14:paraId="335B025C" w14:textId="77777777" w:rsidTr="0014481C">
        <w:tc>
          <w:tcPr>
            <w:tcW w:w="2160" w:type="dxa"/>
            <w:shd w:val="clear" w:color="auto" w:fill="auto"/>
          </w:tcPr>
          <w:p w14:paraId="00438809" w14:textId="5C8CE0A5" w:rsidR="00685983" w:rsidRPr="001A459D" w:rsidRDefault="00A117B5">
            <w:pPr>
              <w:spacing w:after="120"/>
              <w:rPr>
                <w:rFonts w:cstheme="minorHAnsi"/>
                <w:b/>
                <w:bCs/>
              </w:rPr>
            </w:pPr>
            <w:r>
              <w:rPr>
                <w:rFonts w:cstheme="minorHAnsi"/>
                <w:b/>
                <w:bCs/>
              </w:rPr>
              <w:t>Second /i</w:t>
            </w:r>
            <w:r w:rsidR="00685983" w:rsidRPr="001A459D">
              <w:rPr>
                <w:rFonts w:cstheme="minorHAnsi"/>
                <w:b/>
                <w:bCs/>
              </w:rPr>
              <w:t>nitiation injection 2</w:t>
            </w:r>
          </w:p>
        </w:tc>
        <w:tc>
          <w:tcPr>
            <w:tcW w:w="2610" w:type="dxa"/>
            <w:shd w:val="clear" w:color="auto" w:fill="auto"/>
          </w:tcPr>
          <w:p w14:paraId="39C683BB" w14:textId="77777777" w:rsidR="00685983" w:rsidRPr="00805F97" w:rsidRDefault="00685983">
            <w:pPr>
              <w:spacing w:after="120"/>
            </w:pPr>
            <w:r>
              <w:rPr>
                <w:rFonts w:cstheme="minorHAnsi"/>
              </w:rPr>
              <w:t>≤</w:t>
            </w:r>
            <w:r>
              <w:t xml:space="preserve"> 2 months since initiation injection 1</w:t>
            </w:r>
          </w:p>
        </w:tc>
        <w:tc>
          <w:tcPr>
            <w:tcW w:w="5696" w:type="dxa"/>
            <w:shd w:val="clear" w:color="auto" w:fill="auto"/>
          </w:tcPr>
          <w:p w14:paraId="0FB87B33" w14:textId="6E85DA14" w:rsidR="00685983" w:rsidRPr="00030457" w:rsidRDefault="00515E39">
            <w:pPr>
              <w:spacing w:after="120"/>
            </w:pPr>
            <w:r>
              <w:t>Administer CAB PrEP injection as soon as possible and continue with follow-up injections every two months</w:t>
            </w:r>
            <w:r w:rsidR="00954EF3">
              <w:t>.</w:t>
            </w:r>
          </w:p>
        </w:tc>
      </w:tr>
      <w:tr w:rsidR="00685983" w:rsidRPr="00805F97" w14:paraId="3CAFF8CE" w14:textId="77777777" w:rsidTr="0014481C">
        <w:tc>
          <w:tcPr>
            <w:tcW w:w="2160" w:type="dxa"/>
            <w:tcBorders>
              <w:bottom w:val="single" w:sz="4" w:space="0" w:color="auto"/>
            </w:tcBorders>
            <w:shd w:val="clear" w:color="auto" w:fill="auto"/>
          </w:tcPr>
          <w:p w14:paraId="45764B0E" w14:textId="77777777" w:rsidR="00685983" w:rsidRDefault="00685983">
            <w:pPr>
              <w:spacing w:after="120"/>
              <w:ind w:left="720"/>
            </w:pPr>
          </w:p>
        </w:tc>
        <w:tc>
          <w:tcPr>
            <w:tcW w:w="2610" w:type="dxa"/>
            <w:tcBorders>
              <w:bottom w:val="single" w:sz="4" w:space="0" w:color="auto"/>
            </w:tcBorders>
            <w:shd w:val="clear" w:color="auto" w:fill="auto"/>
          </w:tcPr>
          <w:p w14:paraId="662A2470" w14:textId="77777777" w:rsidR="00685983" w:rsidRPr="00805F97" w:rsidRDefault="00685983">
            <w:pPr>
              <w:spacing w:after="120"/>
            </w:pPr>
            <w:r>
              <w:t>&gt; 2 months since initiation injection 1</w:t>
            </w:r>
          </w:p>
        </w:tc>
        <w:tc>
          <w:tcPr>
            <w:tcW w:w="5696" w:type="dxa"/>
            <w:tcBorders>
              <w:bottom w:val="single" w:sz="4" w:space="0" w:color="auto"/>
            </w:tcBorders>
            <w:shd w:val="clear" w:color="auto" w:fill="auto"/>
          </w:tcPr>
          <w:p w14:paraId="79C4BA0C" w14:textId="6F70DFF1" w:rsidR="00685983" w:rsidRDefault="00685983">
            <w:pPr>
              <w:spacing w:after="120"/>
            </w:pPr>
            <w:r>
              <w:t xml:space="preserve">Assess the client for contraindications for CAB PrEP using the initiation procedure and, if contraindications are absent, </w:t>
            </w:r>
            <w:r w:rsidR="00515E39">
              <w:t>restart the client on CAB PrEP by providing</w:t>
            </w:r>
            <w:r>
              <w:t xml:space="preserve"> initiation injection 1 that day and schedul</w:t>
            </w:r>
            <w:r w:rsidR="00515E39">
              <w:t>ing</w:t>
            </w:r>
            <w:r>
              <w:t xml:space="preserve"> </w:t>
            </w:r>
            <w:r w:rsidR="00515E39">
              <w:t>initiation injection 2</w:t>
            </w:r>
            <w:r w:rsidR="00954EF3">
              <w:t xml:space="preserve"> one month later.</w:t>
            </w:r>
            <w:r>
              <w:t xml:space="preserve"> </w:t>
            </w:r>
          </w:p>
          <w:p w14:paraId="0B2244A4" w14:textId="78A28EB1" w:rsidR="00685983" w:rsidRPr="00805F97" w:rsidRDefault="00685983">
            <w:pPr>
              <w:spacing w:after="120"/>
            </w:pPr>
            <w:r>
              <w:t xml:space="preserve">Follow-up visits should be scheduled every </w:t>
            </w:r>
            <w:r w:rsidR="007D0EDC">
              <w:t>two</w:t>
            </w:r>
            <w:r>
              <w:t xml:space="preserve"> months thereafter.</w:t>
            </w:r>
          </w:p>
        </w:tc>
      </w:tr>
      <w:tr w:rsidR="00685983" w:rsidRPr="00805F97" w14:paraId="6BE9AA0E" w14:textId="77777777" w:rsidTr="0014481C">
        <w:trPr>
          <w:trHeight w:val="1107"/>
        </w:trPr>
        <w:tc>
          <w:tcPr>
            <w:tcW w:w="2160" w:type="dxa"/>
            <w:shd w:val="clear" w:color="auto" w:fill="auto"/>
          </w:tcPr>
          <w:p w14:paraId="45E8DDA3" w14:textId="77777777" w:rsidR="00685983" w:rsidRPr="001A459D" w:rsidRDefault="00685983">
            <w:pPr>
              <w:spacing w:after="120"/>
              <w:rPr>
                <w:rFonts w:cstheme="minorHAnsi"/>
                <w:b/>
                <w:bCs/>
              </w:rPr>
            </w:pPr>
            <w:r w:rsidRPr="001A459D">
              <w:rPr>
                <w:rFonts w:cstheme="minorHAnsi"/>
                <w:b/>
                <w:bCs/>
              </w:rPr>
              <w:t>Follow-up injection</w:t>
            </w:r>
          </w:p>
        </w:tc>
        <w:tc>
          <w:tcPr>
            <w:tcW w:w="2610" w:type="dxa"/>
            <w:shd w:val="clear" w:color="auto" w:fill="auto"/>
          </w:tcPr>
          <w:p w14:paraId="118B9826" w14:textId="77777777" w:rsidR="00685983" w:rsidRPr="62174829" w:rsidRDefault="00685983">
            <w:pPr>
              <w:spacing w:after="120"/>
              <w:rPr>
                <w:b/>
                <w:bCs/>
              </w:rPr>
            </w:pPr>
            <w:r>
              <w:rPr>
                <w:rFonts w:cstheme="minorHAnsi"/>
              </w:rPr>
              <w:t>≤</w:t>
            </w:r>
            <w:r>
              <w:t xml:space="preserve"> </w:t>
            </w:r>
            <w:r w:rsidRPr="00805F97">
              <w:t>3 months</w:t>
            </w:r>
            <w:r>
              <w:t xml:space="preserve"> since last injection</w:t>
            </w:r>
          </w:p>
        </w:tc>
        <w:tc>
          <w:tcPr>
            <w:tcW w:w="5696" w:type="dxa"/>
            <w:shd w:val="clear" w:color="auto" w:fill="auto"/>
          </w:tcPr>
          <w:p w14:paraId="3358ACCB" w14:textId="7834E381" w:rsidR="00685983" w:rsidRPr="00805F97" w:rsidRDefault="00954EF3">
            <w:pPr>
              <w:spacing w:after="120"/>
            </w:pPr>
            <w:r>
              <w:t>Administer CAB PrEP injection as soon as possible and continue with follow-up injections every two months</w:t>
            </w:r>
            <w:r w:rsidR="00685983" w:rsidRPr="004006D6">
              <w:t>.</w:t>
            </w:r>
          </w:p>
        </w:tc>
      </w:tr>
      <w:tr w:rsidR="00685983" w:rsidRPr="00805F97" w14:paraId="39BAAE24" w14:textId="77777777" w:rsidTr="0014481C">
        <w:tc>
          <w:tcPr>
            <w:tcW w:w="2160" w:type="dxa"/>
            <w:shd w:val="clear" w:color="auto" w:fill="auto"/>
          </w:tcPr>
          <w:p w14:paraId="7E2DD1C5" w14:textId="77777777" w:rsidR="00685983" w:rsidRPr="00805F97" w:rsidRDefault="00685983">
            <w:pPr>
              <w:spacing w:after="120"/>
              <w:ind w:left="720"/>
            </w:pPr>
          </w:p>
        </w:tc>
        <w:tc>
          <w:tcPr>
            <w:tcW w:w="2610" w:type="dxa"/>
            <w:shd w:val="clear" w:color="auto" w:fill="auto"/>
          </w:tcPr>
          <w:p w14:paraId="3ED567FB" w14:textId="77777777" w:rsidR="00685983" w:rsidRPr="00DC20B4" w:rsidRDefault="00685983">
            <w:pPr>
              <w:spacing w:after="120"/>
            </w:pPr>
            <w:r w:rsidRPr="00805F97">
              <w:t xml:space="preserve">&gt; </w:t>
            </w:r>
            <w:r w:rsidRPr="00DC20B4">
              <w:t>3</w:t>
            </w:r>
            <w:r w:rsidRPr="00805F97">
              <w:t xml:space="preserve"> months</w:t>
            </w:r>
            <w:r>
              <w:t xml:space="preserve"> since last injection</w:t>
            </w:r>
          </w:p>
        </w:tc>
        <w:tc>
          <w:tcPr>
            <w:tcW w:w="5696" w:type="dxa"/>
            <w:shd w:val="clear" w:color="auto" w:fill="auto"/>
          </w:tcPr>
          <w:p w14:paraId="1C02D3F0" w14:textId="64468D5B" w:rsidR="00685983" w:rsidRDefault="00685983">
            <w:pPr>
              <w:spacing w:after="120"/>
            </w:pPr>
            <w:r>
              <w:t>Rescreen for potential restart and, if contraindications are absent, re</w:t>
            </w:r>
            <w:r w:rsidR="00442FAD">
              <w:t>start client on CAB PrEP with</w:t>
            </w:r>
            <w:r>
              <w:t xml:space="preserve"> initiation injection 1 that day and schedule initiation injection 2 in </w:t>
            </w:r>
            <w:r w:rsidR="00442FAD">
              <w:t>one</w:t>
            </w:r>
            <w:r>
              <w:t xml:space="preserve"> month. </w:t>
            </w:r>
          </w:p>
          <w:p w14:paraId="33896A2A" w14:textId="6B9B2A7F" w:rsidR="00442FAD" w:rsidRPr="00805F97" w:rsidRDefault="00685983">
            <w:pPr>
              <w:spacing w:after="120"/>
            </w:pPr>
            <w:r>
              <w:lastRenderedPageBreak/>
              <w:t xml:space="preserve">Follow-up visits should be scheduled every </w:t>
            </w:r>
            <w:r w:rsidR="002E57D7">
              <w:t>two</w:t>
            </w:r>
            <w:r>
              <w:t xml:space="preserve"> months thereafter.</w:t>
            </w:r>
          </w:p>
        </w:tc>
      </w:tr>
    </w:tbl>
    <w:p w14:paraId="05A62AF9" w14:textId="7797CBA3" w:rsidR="00685983" w:rsidRPr="00A35D25" w:rsidRDefault="00442FAD" w:rsidP="00A35D25">
      <w:r>
        <w:lastRenderedPageBreak/>
        <w:t>One month is approximately 28 days. Clients who have missed a CAB PrEP injection and do not wish to restart</w:t>
      </w:r>
      <w:r w:rsidR="00FC50AA">
        <w:t xml:space="preserve"> or continue</w:t>
      </w:r>
      <w:r>
        <w:t xml:space="preserve"> CAB PrEP should be counseled on other PrEP and HIV prevention options.</w:t>
      </w:r>
    </w:p>
    <w:p w14:paraId="5A3277F5" w14:textId="4E101DDD" w:rsidR="00574173" w:rsidRPr="00B25741" w:rsidRDefault="00574173" w:rsidP="00574173">
      <w:pPr>
        <w:pStyle w:val="Heading4"/>
        <w:rPr>
          <w:rFonts w:asciiTheme="minorHAnsi" w:hAnsiTheme="minorHAnsi" w:cstheme="minorHAnsi"/>
          <w:i w:val="0"/>
          <w:iCs w:val="0"/>
        </w:rPr>
      </w:pPr>
      <w:bookmarkStart w:id="38" w:name="_Toc182989118"/>
      <w:r w:rsidRPr="00B25741">
        <w:rPr>
          <w:rFonts w:asciiTheme="minorHAnsi" w:hAnsiTheme="minorHAnsi" w:cstheme="minorHAnsi"/>
          <w:i w:val="0"/>
          <w:iCs w:val="0"/>
        </w:rPr>
        <w:t>Restarting CAB PrEP</w:t>
      </w:r>
      <w:bookmarkEnd w:id="38"/>
    </w:p>
    <w:p w14:paraId="5B5681F2" w14:textId="36AAFF6E" w:rsidR="00A973BA" w:rsidRPr="00A973BA" w:rsidRDefault="00A973BA" w:rsidP="003153A1">
      <w:r>
        <w:t>Clients who may have been on CAB PrEP at some point before stopping and wish to receiv</w:t>
      </w:r>
      <w:r w:rsidR="00017B57">
        <w:t>e</w:t>
      </w:r>
      <w:r>
        <w:t xml:space="preserve"> </w:t>
      </w:r>
      <w:r w:rsidR="008F77ED">
        <w:t>it</w:t>
      </w:r>
      <w:r>
        <w:t xml:space="preserve"> </w:t>
      </w:r>
      <w:r w:rsidR="00017B57">
        <w:t xml:space="preserve">again </w:t>
      </w:r>
      <w:r>
        <w:t xml:space="preserve">should contact their provider to discuss strategies for restarting CAB PrEP. </w:t>
      </w:r>
    </w:p>
    <w:p w14:paraId="0242C351" w14:textId="433E19F6" w:rsidR="004E7E4A" w:rsidRPr="00B25741" w:rsidRDefault="005343A2" w:rsidP="00582747">
      <w:pPr>
        <w:pStyle w:val="Heading2"/>
        <w:rPr>
          <w:rFonts w:asciiTheme="minorHAnsi" w:hAnsiTheme="minorHAnsi" w:cstheme="minorHAnsi"/>
        </w:rPr>
      </w:pPr>
      <w:bookmarkStart w:id="39" w:name="_Toc182989119"/>
      <w:r w:rsidRPr="00B25741">
        <w:rPr>
          <w:rFonts w:asciiTheme="minorHAnsi" w:hAnsiTheme="minorHAnsi" w:cstheme="minorHAnsi"/>
        </w:rPr>
        <w:t xml:space="preserve">Switching Between PrEP </w:t>
      </w:r>
      <w:r w:rsidR="000D41BC" w:rsidRPr="00B25741">
        <w:rPr>
          <w:rFonts w:asciiTheme="minorHAnsi" w:hAnsiTheme="minorHAnsi" w:cstheme="minorHAnsi"/>
        </w:rPr>
        <w:t>Method</w:t>
      </w:r>
      <w:r w:rsidRPr="00B25741">
        <w:rPr>
          <w:rFonts w:asciiTheme="minorHAnsi" w:hAnsiTheme="minorHAnsi" w:cstheme="minorHAnsi"/>
        </w:rPr>
        <w:t>s</w:t>
      </w:r>
      <w:r w:rsidR="004970DF" w:rsidRPr="00B25741">
        <w:rPr>
          <w:rFonts w:asciiTheme="minorHAnsi" w:hAnsiTheme="minorHAnsi" w:cstheme="minorHAnsi"/>
        </w:rPr>
        <w:t xml:space="preserve"> and Simultaneous Us</w:t>
      </w:r>
      <w:r w:rsidR="005D794D" w:rsidRPr="00B25741">
        <w:rPr>
          <w:rFonts w:asciiTheme="minorHAnsi" w:hAnsiTheme="minorHAnsi" w:cstheme="minorHAnsi"/>
        </w:rPr>
        <w:t>e</w:t>
      </w:r>
      <w:bookmarkEnd w:id="39"/>
      <w:r w:rsidR="005D794D" w:rsidRPr="00B25741">
        <w:rPr>
          <w:rFonts w:asciiTheme="minorHAnsi" w:hAnsiTheme="minorHAnsi" w:cstheme="minorHAnsi"/>
        </w:rPr>
        <w:t xml:space="preserve"> </w:t>
      </w:r>
    </w:p>
    <w:p w14:paraId="5EDAC357" w14:textId="774FCC66" w:rsidR="004237AC" w:rsidRPr="0056532B" w:rsidRDefault="739448FD" w:rsidP="00DD508F">
      <w:pPr>
        <w:spacing w:after="120" w:line="240" w:lineRule="auto"/>
      </w:pPr>
      <w:r>
        <w:t xml:space="preserve">Clients may </w:t>
      </w:r>
      <w:r w:rsidR="1F1F2625">
        <w:t xml:space="preserve">choose to </w:t>
      </w:r>
      <w:r>
        <w:t xml:space="preserve">switch between </w:t>
      </w:r>
      <w:r w:rsidR="17F4F6D8">
        <w:t>PrEP methods</w:t>
      </w:r>
      <w:r>
        <w:t>. Possible patterns of us</w:t>
      </w:r>
      <w:r w:rsidR="00683F46">
        <w:t>e of</w:t>
      </w:r>
      <w:r>
        <w:t xml:space="preserve"> </w:t>
      </w:r>
      <w:r w:rsidR="57B4EAF5">
        <w:t xml:space="preserve">different </w:t>
      </w:r>
      <w:r w:rsidR="00556776">
        <w:t>PrEP</w:t>
      </w:r>
      <w:r>
        <w:t xml:space="preserve"> methods are </w:t>
      </w:r>
      <w:r w:rsidR="73F12111">
        <w:t>many</w:t>
      </w:r>
      <w:r w:rsidR="004875EC">
        <w:t>;</w:t>
      </w:r>
      <w:r w:rsidR="73F12111">
        <w:t xml:space="preserve"> </w:t>
      </w:r>
      <w:r w:rsidR="0062348B">
        <w:t xml:space="preserve">the </w:t>
      </w:r>
      <w:r w:rsidR="73F12111">
        <w:t xml:space="preserve">ideal use </w:t>
      </w:r>
      <w:r w:rsidR="004875EC">
        <w:t xml:space="preserve">pattern </w:t>
      </w:r>
      <w:r w:rsidR="73F12111">
        <w:t xml:space="preserve">during </w:t>
      </w:r>
      <w:r w:rsidR="5CB2E260">
        <w:t xml:space="preserve">a </w:t>
      </w:r>
      <w:r w:rsidR="73F12111">
        <w:t xml:space="preserve">transition between methods </w:t>
      </w:r>
      <w:r w:rsidR="5CB2E260">
        <w:t xml:space="preserve">is </w:t>
      </w:r>
      <w:r>
        <w:t xml:space="preserve">not currently known and </w:t>
      </w:r>
      <w:r w:rsidR="2AB5EE29">
        <w:t xml:space="preserve">will </w:t>
      </w:r>
      <w:r>
        <w:t xml:space="preserve">require careful support and assessment. </w:t>
      </w:r>
    </w:p>
    <w:p w14:paraId="449551B7" w14:textId="1C862369" w:rsidR="004237AC" w:rsidRPr="00606B35" w:rsidRDefault="004237AC" w:rsidP="00DD508F">
      <w:pPr>
        <w:spacing w:after="120" w:line="240" w:lineRule="auto"/>
      </w:pPr>
      <w:r w:rsidRPr="10A43560">
        <w:t xml:space="preserve">Safety data on </w:t>
      </w:r>
      <w:r w:rsidR="4834E829" w:rsidRPr="10A43560">
        <w:t xml:space="preserve">using more than one PrEP method at a time is limited and </w:t>
      </w:r>
      <w:r w:rsidR="00253148">
        <w:t xml:space="preserve">does not exist </w:t>
      </w:r>
      <w:r w:rsidR="4834E829" w:rsidRPr="10A43560">
        <w:t xml:space="preserve">for some </w:t>
      </w:r>
      <w:r w:rsidR="2975E63C" w:rsidRPr="10A43560">
        <w:t>PrEP methods</w:t>
      </w:r>
      <w:r w:rsidR="4834E829" w:rsidRPr="10A43560">
        <w:t>.</w:t>
      </w:r>
      <w:r w:rsidRPr="10A43560">
        <w:t xml:space="preserve"> Although use of </w:t>
      </w:r>
      <w:r w:rsidR="75AFA258" w:rsidRPr="10A43560">
        <w:t xml:space="preserve">multiple </w:t>
      </w:r>
      <w:r w:rsidR="00464885" w:rsidRPr="10A43560">
        <w:t>methods</w:t>
      </w:r>
      <w:r w:rsidRPr="10A43560">
        <w:t xml:space="preserve"> is not likely to be less well-tolerated than </w:t>
      </w:r>
      <w:r w:rsidR="00DE12F9" w:rsidRPr="10A43560">
        <w:t>use of each</w:t>
      </w:r>
      <w:r w:rsidRPr="10A43560">
        <w:t xml:space="preserve"> individually, more data are needed to confirm the safety and efficacy of simultaneous use</w:t>
      </w:r>
      <w:r w:rsidR="54701C32" w:rsidRPr="10A43560">
        <w:t>.</w:t>
      </w:r>
    </w:p>
    <w:p w14:paraId="01FBC75C" w14:textId="7BF398A2" w:rsidR="00D86828" w:rsidRDefault="004237AC">
      <w:r w:rsidRPr="00606B35">
        <w:t xml:space="preserve">Some clients may decide to use </w:t>
      </w:r>
      <w:r w:rsidR="3A36EBCC">
        <w:t>multiple PrEP methods</w:t>
      </w:r>
      <w:r w:rsidRPr="00606B35">
        <w:t xml:space="preserve"> at the same time. However, no evidence indicates that using them together will result in any advantage. </w:t>
      </w:r>
      <w:r w:rsidR="00526967">
        <w:t xml:space="preserve">Clients may also choose to switch from a biomedical </w:t>
      </w:r>
      <w:r w:rsidR="0078613C">
        <w:t xml:space="preserve">PrEP </w:t>
      </w:r>
      <w:r w:rsidR="00526967">
        <w:t xml:space="preserve">option to another HIV prevention strategy. </w:t>
      </w:r>
      <w:r w:rsidRPr="00606B35">
        <w:t xml:space="preserve">Whatever the choice, </w:t>
      </w:r>
      <w:r w:rsidR="00AE3B12">
        <w:t xml:space="preserve">using </w:t>
      </w:r>
      <w:r w:rsidR="4927E2F5">
        <w:t>the chosen</w:t>
      </w:r>
      <w:r w:rsidR="00AE3B12">
        <w:t xml:space="preserve"> PrEP</w:t>
      </w:r>
      <w:r w:rsidR="0DE84CEF">
        <w:t xml:space="preserve"> method</w:t>
      </w:r>
      <w:r w:rsidR="00AE3B12">
        <w:t xml:space="preserve"> in a way that is effectively prophylactic (as frequently as directed and for as long as is needed to cover periods of potential exposure) </w:t>
      </w:r>
      <w:r w:rsidRPr="00606B35">
        <w:t xml:space="preserve">is important to optimize </w:t>
      </w:r>
      <w:r w:rsidR="00311BA3">
        <w:t xml:space="preserve">the </w:t>
      </w:r>
      <w:r w:rsidRPr="00606B35">
        <w:t xml:space="preserve">effectiveness of </w:t>
      </w:r>
      <w:r w:rsidR="00FB59F4">
        <w:t xml:space="preserve">the </w:t>
      </w:r>
      <w:r w:rsidR="00464885" w:rsidRPr="00606B35">
        <w:t>method</w:t>
      </w:r>
      <w:r w:rsidRPr="00606B35">
        <w:t xml:space="preserve">. </w:t>
      </w:r>
      <w:r w:rsidR="00D86828">
        <w:br w:type="page"/>
      </w:r>
    </w:p>
    <w:p w14:paraId="00DD7780" w14:textId="4A441157" w:rsidR="00F42CD8" w:rsidRDefault="00F42CD8" w:rsidP="003F738F">
      <w:pPr>
        <w:spacing w:after="120" w:line="240" w:lineRule="auto"/>
      </w:pPr>
    </w:p>
    <w:tbl>
      <w:tblPr>
        <w:tblW w:w="0" w:type="auto"/>
        <w:tblLook w:val="04A0" w:firstRow="1" w:lastRow="0" w:firstColumn="1" w:lastColumn="0" w:noHBand="0" w:noVBand="1"/>
      </w:tblPr>
      <w:tblGrid>
        <w:gridCol w:w="10456"/>
      </w:tblGrid>
      <w:tr w:rsidR="003F738F" w:rsidRPr="007F47FD" w14:paraId="446B6D0A" w14:textId="77777777" w:rsidTr="00B424BE">
        <w:tc>
          <w:tcPr>
            <w:tcW w:w="10456" w:type="dxa"/>
            <w:shd w:val="clear" w:color="auto" w:fill="C5E0B3" w:themeFill="accent6" w:themeFillTint="66"/>
          </w:tcPr>
          <w:p w14:paraId="6A490498" w14:textId="744064D5" w:rsidR="009C7CF5" w:rsidRDefault="003F738F" w:rsidP="00B424BE">
            <w:pPr>
              <w:spacing w:after="120"/>
            </w:pPr>
            <w:r w:rsidRPr="56D00486">
              <w:rPr>
                <w:b/>
                <w:bCs/>
              </w:rPr>
              <w:t xml:space="preserve">For </w:t>
            </w:r>
            <w:r>
              <w:rPr>
                <w:b/>
                <w:bCs/>
              </w:rPr>
              <w:t>c</w:t>
            </w:r>
            <w:r w:rsidRPr="56D00486">
              <w:rPr>
                <w:b/>
                <w:bCs/>
              </w:rPr>
              <w:t xml:space="preserve">onsideration: </w:t>
            </w:r>
            <w:r w:rsidR="003A3F40">
              <w:t>The process for switching between PrEP methods will depend on the methods being used. When advising clients on switching between PrEP methods, providers should use their best clinical judgement, considering the time to effectiveness/waning effectiveness of each PrEP method after discontinuation, coverage of previous and future potential exposures to HIV, and client preferences. The table below outlines suggested instructions for switching between PrEP methods.</w:t>
            </w:r>
          </w:p>
          <w:p w14:paraId="48F8BDAB" w14:textId="77777777" w:rsidR="009C7CF5" w:rsidRPr="00CA47F4" w:rsidRDefault="009C7CF5" w:rsidP="009C7CF5">
            <w:pPr>
              <w:spacing w:after="120"/>
              <w:rPr>
                <w:rFonts w:ascii="Calibri" w:eastAsia="Calibri" w:hAnsi="Calibri" w:cs="Calibri"/>
                <w:b/>
              </w:rPr>
            </w:pPr>
            <w:r w:rsidRPr="00CA47F4">
              <w:rPr>
                <w:rFonts w:ascii="Calibri" w:eastAsia="Calibri" w:hAnsi="Calibri" w:cs="Calibri"/>
                <w:b/>
              </w:rPr>
              <w:t>Before switching between methods or first initiating on PrEP, do the following:</w:t>
            </w:r>
          </w:p>
          <w:p w14:paraId="09912A28" w14:textId="251A9CA6" w:rsidR="009C7CF5" w:rsidRPr="00CA47F4" w:rsidRDefault="009C7CF5" w:rsidP="009C7CF5">
            <w:pPr>
              <w:numPr>
                <w:ilvl w:val="0"/>
                <w:numId w:val="50"/>
              </w:numPr>
              <w:spacing w:after="120" w:line="240" w:lineRule="auto"/>
              <w:contextualSpacing/>
              <w:rPr>
                <w:rFonts w:ascii="Calibri" w:eastAsia="Calibri" w:hAnsi="Calibri" w:cs="Calibri"/>
              </w:rPr>
            </w:pPr>
            <w:r w:rsidRPr="00CA47F4">
              <w:rPr>
                <w:rFonts w:ascii="Calibri" w:eastAsia="Calibri" w:hAnsi="Calibri" w:cs="Calibri"/>
              </w:rPr>
              <w:t>Test for HIV and review HIV exposure, including coverage of previous and future potential exposures to HIV. Remember to assess for AHI and PEP</w:t>
            </w:r>
            <w:r w:rsidR="00FC50AA">
              <w:rPr>
                <w:rFonts w:ascii="Calibri" w:eastAsia="Calibri" w:hAnsi="Calibri" w:cs="Calibri"/>
              </w:rPr>
              <w:t>.</w:t>
            </w:r>
          </w:p>
          <w:p w14:paraId="210AFCA0" w14:textId="6E3547A1" w:rsidR="009C7CF5" w:rsidRPr="00CA47F4" w:rsidRDefault="009C7CF5" w:rsidP="009C7CF5">
            <w:pPr>
              <w:numPr>
                <w:ilvl w:val="0"/>
                <w:numId w:val="50"/>
              </w:numPr>
              <w:spacing w:after="120" w:line="240" w:lineRule="auto"/>
              <w:contextualSpacing/>
              <w:rPr>
                <w:rFonts w:ascii="Calibri" w:eastAsia="Calibri" w:hAnsi="Calibri" w:cs="Calibri"/>
                <w:b/>
              </w:rPr>
            </w:pPr>
            <w:r w:rsidRPr="00CA47F4">
              <w:rPr>
                <w:rFonts w:ascii="Calibri" w:eastAsia="Calibri" w:hAnsi="Calibri" w:cs="Calibri"/>
              </w:rPr>
              <w:t xml:space="preserve">Provide choice counseling and review client’s choice. </w:t>
            </w:r>
          </w:p>
          <w:p w14:paraId="3D8A5387" w14:textId="22507EFC" w:rsidR="009C7CF5" w:rsidRPr="00CA47F4" w:rsidRDefault="009C7CF5" w:rsidP="009C7CF5">
            <w:pPr>
              <w:numPr>
                <w:ilvl w:val="0"/>
                <w:numId w:val="50"/>
              </w:numPr>
              <w:spacing w:after="120" w:line="240" w:lineRule="auto"/>
              <w:contextualSpacing/>
              <w:rPr>
                <w:rFonts w:ascii="Calibri" w:eastAsia="Calibri" w:hAnsi="Calibri" w:cs="Calibri"/>
                <w:b/>
              </w:rPr>
            </w:pPr>
            <w:r w:rsidRPr="00CA47F4">
              <w:rPr>
                <w:rFonts w:ascii="Calibri" w:eastAsia="Calibri" w:hAnsi="Calibri" w:cs="Calibri"/>
              </w:rPr>
              <w:t>Consider indication, screening</w:t>
            </w:r>
            <w:r w:rsidR="00D97A07">
              <w:rPr>
                <w:rFonts w:ascii="Calibri" w:eastAsia="Calibri" w:hAnsi="Calibri" w:cs="Calibri"/>
              </w:rPr>
              <w:t>,</w:t>
            </w:r>
            <w:r w:rsidRPr="00CA47F4">
              <w:rPr>
                <w:rFonts w:ascii="Calibri" w:eastAsia="Calibri" w:hAnsi="Calibri" w:cs="Calibri"/>
              </w:rPr>
              <w:t xml:space="preserve"> and contraindications for the preferred choice.</w:t>
            </w:r>
          </w:p>
          <w:p w14:paraId="7EB32DDE" w14:textId="305A1877" w:rsidR="009C7CF5" w:rsidRPr="00CA47F4" w:rsidRDefault="009C7CF5" w:rsidP="009C7CF5">
            <w:pPr>
              <w:numPr>
                <w:ilvl w:val="0"/>
                <w:numId w:val="50"/>
              </w:numPr>
              <w:spacing w:after="120" w:line="240" w:lineRule="auto"/>
              <w:contextualSpacing/>
              <w:rPr>
                <w:rFonts w:ascii="Calibri" w:eastAsia="Calibri" w:hAnsi="Calibri" w:cs="Calibri"/>
              </w:rPr>
            </w:pPr>
            <w:r w:rsidRPr="00CA47F4">
              <w:rPr>
                <w:rFonts w:ascii="Calibri" w:eastAsia="Calibri" w:hAnsi="Calibri" w:cs="Calibri"/>
              </w:rPr>
              <w:t xml:space="preserve">Consider </w:t>
            </w:r>
            <w:r w:rsidR="00397CB3">
              <w:rPr>
                <w:rFonts w:ascii="Calibri" w:eastAsia="Calibri" w:hAnsi="Calibri" w:cs="Calibri"/>
              </w:rPr>
              <w:t xml:space="preserve">the </w:t>
            </w:r>
            <w:r w:rsidRPr="00CA47F4">
              <w:rPr>
                <w:rFonts w:ascii="Calibri" w:eastAsia="Calibri" w:hAnsi="Calibri" w:cs="Calibri"/>
              </w:rPr>
              <w:t>time to effectiveness and lead</w:t>
            </w:r>
            <w:r w:rsidR="00397CB3">
              <w:rPr>
                <w:rFonts w:ascii="Calibri" w:eastAsia="Calibri" w:hAnsi="Calibri" w:cs="Calibri"/>
              </w:rPr>
              <w:t>-</w:t>
            </w:r>
            <w:r w:rsidRPr="00CA47F4">
              <w:rPr>
                <w:rFonts w:ascii="Calibri" w:eastAsia="Calibri" w:hAnsi="Calibri" w:cs="Calibri"/>
              </w:rPr>
              <w:t xml:space="preserve">in period of both the desired new method and previous method, as applicable. </w:t>
            </w:r>
          </w:p>
          <w:p w14:paraId="3AF396F5" w14:textId="77777777" w:rsidR="009C7CF5" w:rsidRPr="00CA47F4" w:rsidRDefault="009C7CF5" w:rsidP="009C7CF5">
            <w:pPr>
              <w:numPr>
                <w:ilvl w:val="0"/>
                <w:numId w:val="50"/>
              </w:numPr>
              <w:spacing w:after="120" w:line="240" w:lineRule="auto"/>
              <w:contextualSpacing/>
              <w:rPr>
                <w:rFonts w:ascii="Calibri" w:hAnsi="Calibri" w:cs="Calibri"/>
              </w:rPr>
            </w:pPr>
            <w:r w:rsidRPr="00CA47F4">
              <w:rPr>
                <w:rFonts w:ascii="Calibri" w:eastAsia="Calibri" w:hAnsi="Calibri" w:cs="Calibri"/>
              </w:rPr>
              <w:t>Consider guidelines for stopping each method, including waning effectiveness of each PrEP method after discontinuation.</w:t>
            </w:r>
          </w:p>
          <w:p w14:paraId="30F8431C" w14:textId="6BCB6E3B" w:rsidR="009C7CF5" w:rsidRDefault="00C11D88" w:rsidP="009C7CF5">
            <w:pPr>
              <w:spacing w:after="120"/>
              <w:rPr>
                <w:rFonts w:ascii="Calibri" w:hAnsi="Calibri" w:cs="Calibri"/>
              </w:rPr>
            </w:pPr>
            <w:r w:rsidRPr="00311BA3">
              <w:rPr>
                <w:rFonts w:ascii="Calibri" w:hAnsi="Calibri" w:cs="Calibri"/>
                <w:b/>
                <w:bCs/>
              </w:rPr>
              <w:t>Note</w:t>
            </w:r>
            <w:r w:rsidR="009C7CF5" w:rsidRPr="00CA47F4">
              <w:rPr>
                <w:rFonts w:ascii="Calibri" w:hAnsi="Calibri" w:cs="Calibri"/>
              </w:rPr>
              <w:t xml:space="preserve">: </w:t>
            </w:r>
            <w:r w:rsidR="00AA41C7">
              <w:rPr>
                <w:rFonts w:ascii="Calibri" w:hAnsi="Calibri" w:cs="Calibri"/>
              </w:rPr>
              <w:t>M</w:t>
            </w:r>
            <w:r w:rsidR="009C7CF5" w:rsidRPr="00CA47F4">
              <w:rPr>
                <w:rFonts w:ascii="Calibri" w:hAnsi="Calibri" w:cs="Calibri"/>
              </w:rPr>
              <w:t xml:space="preserve">ost of the instructions below for </w:t>
            </w:r>
            <w:r w:rsidR="00844F3E">
              <w:rPr>
                <w:rFonts w:ascii="Calibri" w:hAnsi="Calibri" w:cs="Calibri"/>
              </w:rPr>
              <w:t>a</w:t>
            </w:r>
            <w:r w:rsidR="009C7CF5" w:rsidRPr="00CA47F4">
              <w:rPr>
                <w:rFonts w:ascii="Calibri" w:hAnsi="Calibri" w:cs="Calibri"/>
              </w:rPr>
              <w:t xml:space="preserve"> client switching methods assume that the client </w:t>
            </w:r>
            <w:r w:rsidR="00844F3E">
              <w:rPr>
                <w:rFonts w:ascii="Calibri" w:hAnsi="Calibri" w:cs="Calibri"/>
              </w:rPr>
              <w:t>has been effectively using</w:t>
            </w:r>
            <w:r w:rsidR="009C7CF5" w:rsidRPr="00CA47F4">
              <w:rPr>
                <w:rFonts w:ascii="Calibri" w:hAnsi="Calibri" w:cs="Calibri"/>
              </w:rPr>
              <w:t xml:space="preserve"> the product they are switching from</w:t>
            </w:r>
            <w:r w:rsidR="00844F3E">
              <w:rPr>
                <w:rFonts w:ascii="Calibri" w:hAnsi="Calibri" w:cs="Calibri"/>
              </w:rPr>
              <w:t xml:space="preserve"> and following the correct dosing schedule</w:t>
            </w:r>
            <w:r w:rsidR="009C7CF5" w:rsidRPr="00CA47F4">
              <w:rPr>
                <w:rFonts w:ascii="Calibri" w:hAnsi="Calibri" w:cs="Calibri"/>
              </w:rPr>
              <w:t>. However, in case</w:t>
            </w:r>
            <w:r w:rsidR="000C58EA">
              <w:rPr>
                <w:rFonts w:ascii="Calibri" w:hAnsi="Calibri" w:cs="Calibri"/>
              </w:rPr>
              <w:t xml:space="preserve"> of</w:t>
            </w:r>
            <w:r w:rsidR="009C7CF5" w:rsidRPr="00CA47F4">
              <w:rPr>
                <w:rFonts w:ascii="Calibri" w:hAnsi="Calibri" w:cs="Calibri"/>
              </w:rPr>
              <w:t xml:space="preserve"> </w:t>
            </w:r>
            <w:r w:rsidR="00844F3E">
              <w:rPr>
                <w:rFonts w:ascii="Calibri" w:hAnsi="Calibri" w:cs="Calibri"/>
              </w:rPr>
              <w:t>ineffective use or missed dosing</w:t>
            </w:r>
            <w:r w:rsidR="009C7CF5" w:rsidRPr="00CA47F4">
              <w:rPr>
                <w:rFonts w:ascii="Calibri" w:hAnsi="Calibri" w:cs="Calibri"/>
              </w:rPr>
              <w:t xml:space="preserve">, </w:t>
            </w:r>
            <w:r w:rsidR="00844F3E">
              <w:rPr>
                <w:rFonts w:ascii="Calibri" w:hAnsi="Calibri" w:cs="Calibri"/>
              </w:rPr>
              <w:t>provider</w:t>
            </w:r>
            <w:r w:rsidR="00142AEF">
              <w:rPr>
                <w:rFonts w:ascii="Calibri" w:hAnsi="Calibri" w:cs="Calibri"/>
              </w:rPr>
              <w:t>s</w:t>
            </w:r>
            <w:r w:rsidR="009C7CF5" w:rsidRPr="00CA47F4">
              <w:rPr>
                <w:rFonts w:ascii="Calibri" w:hAnsi="Calibri" w:cs="Calibri"/>
              </w:rPr>
              <w:t xml:space="preserve"> should assess e</w:t>
            </w:r>
            <w:r w:rsidR="00613181">
              <w:rPr>
                <w:rFonts w:ascii="Calibri" w:hAnsi="Calibri" w:cs="Calibri"/>
              </w:rPr>
              <w:t>ach</w:t>
            </w:r>
            <w:r w:rsidR="009C7CF5" w:rsidRPr="00CA47F4">
              <w:rPr>
                <w:rFonts w:ascii="Calibri" w:hAnsi="Calibri" w:cs="Calibri"/>
              </w:rPr>
              <w:t xml:space="preserve"> client on a case-by-case basis for the most appropriate approach</w:t>
            </w:r>
            <w:r w:rsidR="003D79F7">
              <w:rPr>
                <w:rFonts w:ascii="Calibri" w:hAnsi="Calibri" w:cs="Calibri"/>
              </w:rPr>
              <w:t>,</w:t>
            </w:r>
            <w:r w:rsidR="009C7CF5" w:rsidRPr="00CA47F4">
              <w:rPr>
                <w:rFonts w:ascii="Calibri" w:hAnsi="Calibri" w:cs="Calibri"/>
              </w:rPr>
              <w:t xml:space="preserve"> </w:t>
            </w:r>
            <w:proofErr w:type="gramStart"/>
            <w:r w:rsidR="009C7CF5" w:rsidRPr="00CA47F4">
              <w:rPr>
                <w:rFonts w:ascii="Calibri" w:hAnsi="Calibri" w:cs="Calibri"/>
              </w:rPr>
              <w:t>taking into account</w:t>
            </w:r>
            <w:proofErr w:type="gramEnd"/>
            <w:r w:rsidR="009C7CF5" w:rsidRPr="00CA47F4">
              <w:rPr>
                <w:rFonts w:ascii="Calibri" w:hAnsi="Calibri" w:cs="Calibri"/>
              </w:rPr>
              <w:t xml:space="preserve"> the duration of overlap of periods of </w:t>
            </w:r>
            <w:r w:rsidR="00844F3E">
              <w:rPr>
                <w:rFonts w:ascii="Calibri" w:hAnsi="Calibri" w:cs="Calibri"/>
              </w:rPr>
              <w:t>ineffective use or missed dosing</w:t>
            </w:r>
            <w:r w:rsidR="009C7CF5" w:rsidRPr="00CA47F4">
              <w:rPr>
                <w:rFonts w:ascii="Calibri" w:hAnsi="Calibri" w:cs="Calibri"/>
              </w:rPr>
              <w:t xml:space="preserve"> and potential exposure.</w:t>
            </w:r>
          </w:p>
          <w:tbl>
            <w:tblPr>
              <w:tblStyle w:val="TableGrid"/>
              <w:tblW w:w="0" w:type="auto"/>
              <w:tblLook w:val="04A0" w:firstRow="1" w:lastRow="0" w:firstColumn="1" w:lastColumn="0" w:noHBand="0" w:noVBand="1"/>
            </w:tblPr>
            <w:tblGrid>
              <w:gridCol w:w="1075"/>
              <w:gridCol w:w="1149"/>
              <w:gridCol w:w="7920"/>
            </w:tblGrid>
            <w:tr w:rsidR="004D773F" w:rsidRPr="00CA47F4" w14:paraId="24BBDE81" w14:textId="77777777" w:rsidTr="00A804F3">
              <w:tc>
                <w:tcPr>
                  <w:tcW w:w="1075" w:type="dxa"/>
                </w:tcPr>
                <w:p w14:paraId="423A1AF7" w14:textId="77777777" w:rsidR="004D773F" w:rsidRPr="00CA47F4" w:rsidRDefault="004D773F" w:rsidP="004D773F">
                  <w:pPr>
                    <w:spacing w:after="120"/>
                    <w:rPr>
                      <w:rFonts w:ascii="Calibri" w:eastAsia="Calibri" w:hAnsi="Calibri" w:cs="Calibri"/>
                      <w:b/>
                    </w:rPr>
                  </w:pPr>
                  <w:r w:rsidRPr="00CA47F4">
                    <w:rPr>
                      <w:rFonts w:ascii="Calibri" w:eastAsia="Calibri" w:hAnsi="Calibri" w:cs="Calibri"/>
                      <w:b/>
                    </w:rPr>
                    <w:t>From</w:t>
                  </w:r>
                </w:p>
              </w:tc>
              <w:tc>
                <w:tcPr>
                  <w:tcW w:w="1149" w:type="dxa"/>
                </w:tcPr>
                <w:p w14:paraId="4A2945FA" w14:textId="77777777" w:rsidR="004D773F" w:rsidRPr="00CA47F4" w:rsidRDefault="004D773F" w:rsidP="004D773F">
                  <w:pPr>
                    <w:spacing w:after="120"/>
                    <w:rPr>
                      <w:rFonts w:ascii="Calibri" w:eastAsia="Calibri" w:hAnsi="Calibri" w:cs="Calibri"/>
                      <w:b/>
                    </w:rPr>
                  </w:pPr>
                  <w:r w:rsidRPr="00CA47F4">
                    <w:rPr>
                      <w:rFonts w:ascii="Calibri" w:eastAsia="Calibri" w:hAnsi="Calibri" w:cs="Calibri"/>
                      <w:b/>
                    </w:rPr>
                    <w:t>To</w:t>
                  </w:r>
                </w:p>
              </w:tc>
              <w:tc>
                <w:tcPr>
                  <w:tcW w:w="7920" w:type="dxa"/>
                </w:tcPr>
                <w:p w14:paraId="2C6E7644" w14:textId="77777777" w:rsidR="004D773F" w:rsidRPr="00CA47F4" w:rsidRDefault="004D773F" w:rsidP="004D773F">
                  <w:pPr>
                    <w:spacing w:after="120"/>
                    <w:rPr>
                      <w:rFonts w:ascii="Calibri" w:eastAsia="Calibri" w:hAnsi="Calibri" w:cs="Calibri"/>
                      <w:b/>
                    </w:rPr>
                  </w:pPr>
                  <w:r w:rsidRPr="00CA47F4">
                    <w:rPr>
                      <w:rFonts w:ascii="Calibri" w:eastAsia="Calibri" w:hAnsi="Calibri" w:cs="Calibri"/>
                      <w:b/>
                    </w:rPr>
                    <w:t>Instructions</w:t>
                  </w:r>
                </w:p>
              </w:tc>
            </w:tr>
            <w:tr w:rsidR="004D773F" w:rsidRPr="00CA47F4" w14:paraId="520B4C39" w14:textId="77777777" w:rsidTr="00A804F3">
              <w:trPr>
                <w:trHeight w:val="1178"/>
              </w:trPr>
              <w:tc>
                <w:tcPr>
                  <w:tcW w:w="1075" w:type="dxa"/>
                  <w:vMerge w:val="restart"/>
                </w:tcPr>
                <w:p w14:paraId="5653BF7F"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Oral PrEP</w:t>
                  </w:r>
                </w:p>
              </w:tc>
              <w:tc>
                <w:tcPr>
                  <w:tcW w:w="1149" w:type="dxa"/>
                </w:tcPr>
                <w:p w14:paraId="65E653A9"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PrEP ring</w:t>
                  </w:r>
                </w:p>
              </w:tc>
              <w:tc>
                <w:tcPr>
                  <w:tcW w:w="7920" w:type="dxa"/>
                </w:tcPr>
                <w:p w14:paraId="50246325" w14:textId="13021CC8" w:rsidR="004D773F" w:rsidRPr="00CA47F4" w:rsidRDefault="000E3F70" w:rsidP="004D773F">
                  <w:pPr>
                    <w:spacing w:after="120"/>
                    <w:rPr>
                      <w:rFonts w:ascii="Calibri" w:eastAsia="Calibri" w:hAnsi="Calibri" w:cs="Calibri"/>
                      <w:i/>
                      <w:iCs/>
                    </w:rPr>
                  </w:pPr>
                  <w:r>
                    <w:rPr>
                      <w:rFonts w:ascii="Calibri" w:eastAsia="Calibri" w:hAnsi="Calibri" w:cs="Calibri"/>
                      <w:i/>
                      <w:iCs/>
                    </w:rPr>
                    <w:t xml:space="preserve">The </w:t>
                  </w:r>
                  <w:r w:rsidR="004D773F" w:rsidRPr="00CA47F4">
                    <w:rPr>
                      <w:rFonts w:ascii="Calibri" w:eastAsia="Calibri" w:hAnsi="Calibri" w:cs="Calibri"/>
                      <w:i/>
                      <w:iCs/>
                    </w:rPr>
                    <w:t>PrEP ring takes approximately 24 hours to become maximally effective</w:t>
                  </w:r>
                  <w:r w:rsidR="00995073">
                    <w:rPr>
                      <w:rFonts w:ascii="Calibri" w:eastAsia="Calibri" w:hAnsi="Calibri" w:cs="Calibri"/>
                      <w:i/>
                      <w:iCs/>
                    </w:rPr>
                    <w:t>.</w:t>
                  </w:r>
                </w:p>
                <w:p w14:paraId="1EFC59BC" w14:textId="6BA42385" w:rsidR="004D773F" w:rsidRPr="00CA47F4" w:rsidRDefault="004D773F" w:rsidP="00150895">
                  <w:pPr>
                    <w:spacing w:after="120"/>
                    <w:rPr>
                      <w:rFonts w:ascii="Calibri" w:eastAsia="Calibri" w:hAnsi="Calibri" w:cs="Calibri"/>
                      <w:b/>
                    </w:rPr>
                  </w:pPr>
                  <w:r w:rsidRPr="00CA47F4">
                    <w:rPr>
                      <w:rFonts w:ascii="Calibri" w:eastAsia="Calibri" w:hAnsi="Calibri" w:cs="Calibri"/>
                    </w:rPr>
                    <w:t xml:space="preserve">Insert </w:t>
                  </w:r>
                  <w:r w:rsidR="00311BA3">
                    <w:rPr>
                      <w:rFonts w:ascii="Calibri" w:eastAsia="Calibri" w:hAnsi="Calibri" w:cs="Calibri"/>
                    </w:rPr>
                    <w:t xml:space="preserve">a </w:t>
                  </w:r>
                  <w:proofErr w:type="gramStart"/>
                  <w:r w:rsidRPr="00CA47F4">
                    <w:rPr>
                      <w:rFonts w:ascii="Calibri" w:eastAsia="Calibri" w:hAnsi="Calibri" w:cs="Calibri"/>
                    </w:rPr>
                    <w:t>PrEP</w:t>
                  </w:r>
                  <w:proofErr w:type="gramEnd"/>
                  <w:r w:rsidRPr="00CA47F4">
                    <w:rPr>
                      <w:rFonts w:ascii="Calibri" w:eastAsia="Calibri" w:hAnsi="Calibri" w:cs="Calibri"/>
                    </w:rPr>
                    <w:t xml:space="preserve"> ring and continue to take oral PrEP for seven days after </w:t>
                  </w:r>
                  <w:r w:rsidR="00311BA3">
                    <w:rPr>
                      <w:rFonts w:ascii="Calibri" w:eastAsia="Calibri" w:hAnsi="Calibri" w:cs="Calibri"/>
                    </w:rPr>
                    <w:t xml:space="preserve">the </w:t>
                  </w:r>
                  <w:r w:rsidRPr="00CA47F4">
                    <w:rPr>
                      <w:rFonts w:ascii="Calibri" w:eastAsia="Calibri" w:hAnsi="Calibri" w:cs="Calibri"/>
                    </w:rPr>
                    <w:t>last exposure or at least 24 hours after ring insertion, whichever is longer.</w:t>
                  </w:r>
                </w:p>
              </w:tc>
            </w:tr>
            <w:tr w:rsidR="004D773F" w:rsidRPr="00CA47F4" w14:paraId="79090B63" w14:textId="77777777" w:rsidTr="004D773F">
              <w:trPr>
                <w:trHeight w:val="2330"/>
              </w:trPr>
              <w:tc>
                <w:tcPr>
                  <w:tcW w:w="1075" w:type="dxa"/>
                  <w:vMerge/>
                </w:tcPr>
                <w:p w14:paraId="16781920" w14:textId="77777777" w:rsidR="004D773F" w:rsidRPr="00CA47F4" w:rsidRDefault="004D773F" w:rsidP="004D773F">
                  <w:pPr>
                    <w:spacing w:after="120"/>
                    <w:rPr>
                      <w:rFonts w:ascii="Calibri" w:eastAsia="Calibri" w:hAnsi="Calibri" w:cs="Calibri"/>
                      <w:b/>
                    </w:rPr>
                  </w:pPr>
                </w:p>
              </w:tc>
              <w:tc>
                <w:tcPr>
                  <w:tcW w:w="1149" w:type="dxa"/>
                </w:tcPr>
                <w:p w14:paraId="1868A21D"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CAB PrEP</w:t>
                  </w:r>
                </w:p>
              </w:tc>
              <w:tc>
                <w:tcPr>
                  <w:tcW w:w="7920" w:type="dxa"/>
                </w:tcPr>
                <w:p w14:paraId="012002F0" w14:textId="44999BD0" w:rsidR="004D773F" w:rsidRPr="00CA47F4" w:rsidRDefault="004D773F" w:rsidP="004D773F">
                  <w:pPr>
                    <w:spacing w:after="120"/>
                    <w:rPr>
                      <w:rFonts w:ascii="Calibri" w:eastAsia="Calibri" w:hAnsi="Calibri" w:cs="Calibri"/>
                      <w:i/>
                      <w:iCs/>
                    </w:rPr>
                  </w:pPr>
                  <w:r w:rsidRPr="00CA47F4">
                    <w:rPr>
                      <w:rFonts w:ascii="Calibri" w:eastAsia="Calibri" w:hAnsi="Calibri" w:cs="Calibri"/>
                      <w:i/>
                      <w:iCs/>
                    </w:rPr>
                    <w:t xml:space="preserve">CAB PrEP takes approximately </w:t>
                  </w:r>
                  <w:r w:rsidR="00BF3C0C">
                    <w:rPr>
                      <w:rFonts w:ascii="Calibri" w:eastAsia="Calibri" w:hAnsi="Calibri" w:cs="Calibri"/>
                      <w:i/>
                      <w:iCs/>
                    </w:rPr>
                    <w:t>seven</w:t>
                  </w:r>
                  <w:r w:rsidRPr="00CA47F4">
                    <w:rPr>
                      <w:rFonts w:ascii="Calibri" w:eastAsia="Calibri" w:hAnsi="Calibri" w:cs="Calibri"/>
                      <w:i/>
                      <w:iCs/>
                    </w:rPr>
                    <w:t xml:space="preserve"> days to become maximally effective</w:t>
                  </w:r>
                  <w:r w:rsidR="00995073">
                    <w:rPr>
                      <w:rFonts w:ascii="Calibri" w:eastAsia="Calibri" w:hAnsi="Calibri" w:cs="Calibri"/>
                      <w:i/>
                      <w:iCs/>
                    </w:rPr>
                    <w:t>.</w:t>
                  </w:r>
                </w:p>
                <w:p w14:paraId="441D60D8" w14:textId="1964E303" w:rsidR="004D773F" w:rsidRPr="00CA47F4" w:rsidRDefault="004D773F" w:rsidP="004D773F">
                  <w:pPr>
                    <w:spacing w:after="120"/>
                    <w:rPr>
                      <w:rFonts w:ascii="Calibri" w:eastAsia="Calibri" w:hAnsi="Calibri" w:cs="Calibri"/>
                      <w:b/>
                      <w:bCs/>
                    </w:rPr>
                  </w:pPr>
                  <w:r w:rsidRPr="00CA47F4">
                    <w:rPr>
                      <w:rFonts w:ascii="Calibri" w:eastAsia="Calibri" w:hAnsi="Calibri" w:cs="Calibri"/>
                      <w:b/>
                      <w:bCs/>
                    </w:rPr>
                    <w:t xml:space="preserve">For clients using a daily regimen: </w:t>
                  </w:r>
                  <w:r w:rsidRPr="00CA47F4">
                    <w:rPr>
                      <w:rFonts w:ascii="Calibri" w:eastAsia="Calibri" w:hAnsi="Calibri" w:cs="Calibri"/>
                    </w:rPr>
                    <w:t xml:space="preserve">Administer CAB PrEP initiation injection 1 and continue taking oral PrEP for </w:t>
                  </w:r>
                  <w:r w:rsidR="009C6E5E">
                    <w:rPr>
                      <w:rFonts w:ascii="Calibri" w:eastAsia="Calibri" w:hAnsi="Calibri" w:cs="Calibri"/>
                    </w:rPr>
                    <w:t>seven</w:t>
                  </w:r>
                  <w:r w:rsidRPr="00CA47F4">
                    <w:rPr>
                      <w:rFonts w:ascii="Calibri" w:eastAsia="Calibri" w:hAnsi="Calibri" w:cs="Calibri"/>
                    </w:rPr>
                    <w:t xml:space="preserve"> days.</w:t>
                  </w:r>
                </w:p>
                <w:p w14:paraId="36190607" w14:textId="66E753A5" w:rsidR="004D773F" w:rsidRPr="00CA47F4" w:rsidRDefault="004D773F" w:rsidP="00150895">
                  <w:pPr>
                    <w:spacing w:after="120"/>
                    <w:rPr>
                      <w:rFonts w:ascii="Calibri" w:eastAsia="Calibri" w:hAnsi="Calibri" w:cs="Calibri"/>
                      <w:bCs/>
                    </w:rPr>
                  </w:pPr>
                  <w:r w:rsidRPr="00CA47F4">
                    <w:rPr>
                      <w:rFonts w:ascii="Calibri" w:eastAsia="Calibri" w:hAnsi="Calibri" w:cs="Calibri"/>
                      <w:b/>
                    </w:rPr>
                    <w:t>For clients using single or infrequent event regimen:</w:t>
                  </w:r>
                  <w:r w:rsidRPr="00CA47F4">
                    <w:rPr>
                      <w:rFonts w:ascii="Calibri" w:eastAsia="Calibri" w:hAnsi="Calibri" w:cs="Calibri"/>
                      <w:bCs/>
                    </w:rPr>
                    <w:t xml:space="preserve"> </w:t>
                  </w:r>
                  <w:r w:rsidRPr="00CA47F4">
                    <w:rPr>
                      <w:rFonts w:ascii="Calibri" w:eastAsia="Calibri" w:hAnsi="Calibri" w:cs="Calibri"/>
                    </w:rPr>
                    <w:t>Administer CAB PrEP initiation injection 1 and continue taking a tablet daily for two days after last exposure. Client</w:t>
                  </w:r>
                  <w:r w:rsidR="00995073">
                    <w:rPr>
                      <w:rFonts w:ascii="Calibri" w:eastAsia="Calibri" w:hAnsi="Calibri" w:cs="Calibri"/>
                    </w:rPr>
                    <w:t>s</w:t>
                  </w:r>
                  <w:r w:rsidRPr="00CA47F4">
                    <w:rPr>
                      <w:rFonts w:ascii="Calibri" w:eastAsia="Calibri" w:hAnsi="Calibri" w:cs="Calibri"/>
                    </w:rPr>
                    <w:t xml:space="preserve"> can use additional HIV prevention methods (e.g.</w:t>
                  </w:r>
                  <w:r w:rsidR="00995073">
                    <w:rPr>
                      <w:rFonts w:ascii="Calibri" w:eastAsia="Calibri" w:hAnsi="Calibri" w:cs="Calibri"/>
                    </w:rPr>
                    <w:t>,</w:t>
                  </w:r>
                  <w:r w:rsidRPr="00CA47F4">
                    <w:rPr>
                      <w:rFonts w:ascii="Calibri" w:eastAsia="Calibri" w:hAnsi="Calibri" w:cs="Calibri"/>
                    </w:rPr>
                    <w:t xml:space="preserve"> condoms) or restart </w:t>
                  </w:r>
                  <w:r w:rsidR="00311BA3">
                    <w:rPr>
                      <w:rFonts w:ascii="Calibri" w:eastAsia="Calibri" w:hAnsi="Calibri" w:cs="Calibri"/>
                    </w:rPr>
                    <w:t xml:space="preserve">a </w:t>
                  </w:r>
                  <w:r w:rsidRPr="00CA47F4">
                    <w:rPr>
                      <w:rFonts w:ascii="Calibri" w:eastAsia="Calibri" w:hAnsi="Calibri" w:cs="Calibri"/>
                    </w:rPr>
                    <w:t>single or infrequent regimen if they have additional sexual exposure</w:t>
                  </w:r>
                  <w:r w:rsidR="005033CE">
                    <w:rPr>
                      <w:rFonts w:ascii="Calibri" w:eastAsia="Calibri" w:hAnsi="Calibri" w:cs="Calibri"/>
                    </w:rPr>
                    <w:t xml:space="preserve"> within seven days of initiation injection 1</w:t>
                  </w:r>
                  <w:r w:rsidR="00995073">
                    <w:rPr>
                      <w:rFonts w:ascii="Calibri" w:eastAsia="Calibri" w:hAnsi="Calibri" w:cs="Calibri"/>
                    </w:rPr>
                    <w:t>.</w:t>
                  </w:r>
                </w:p>
              </w:tc>
            </w:tr>
            <w:tr w:rsidR="00A804F3" w:rsidRPr="00CA47F4" w14:paraId="63486DB2" w14:textId="77777777" w:rsidTr="00A804F3">
              <w:trPr>
                <w:trHeight w:val="2213"/>
              </w:trPr>
              <w:tc>
                <w:tcPr>
                  <w:tcW w:w="1075" w:type="dxa"/>
                  <w:vMerge w:val="restart"/>
                </w:tcPr>
                <w:p w14:paraId="6B06D4CA" w14:textId="77777777" w:rsidR="004D773F" w:rsidRPr="00CA47F4" w:rsidRDefault="004D773F" w:rsidP="004D773F">
                  <w:pPr>
                    <w:spacing w:after="120"/>
                    <w:rPr>
                      <w:rFonts w:ascii="Calibri" w:eastAsia="Calibri" w:hAnsi="Calibri" w:cs="Calibri"/>
                      <w:b/>
                    </w:rPr>
                  </w:pPr>
                  <w:r w:rsidRPr="00CA47F4">
                    <w:rPr>
                      <w:rFonts w:ascii="Calibri" w:eastAsia="Calibri" w:hAnsi="Calibri" w:cs="Calibri"/>
                      <w:bCs/>
                    </w:rPr>
                    <w:t>PrEP ring</w:t>
                  </w:r>
                </w:p>
              </w:tc>
              <w:tc>
                <w:tcPr>
                  <w:tcW w:w="1149" w:type="dxa"/>
                </w:tcPr>
                <w:p w14:paraId="001E4518"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Oral PrEP</w:t>
                  </w:r>
                </w:p>
              </w:tc>
              <w:tc>
                <w:tcPr>
                  <w:tcW w:w="7920" w:type="dxa"/>
                </w:tcPr>
                <w:p w14:paraId="244D5900" w14:textId="53A318CE" w:rsidR="004D773F" w:rsidRPr="00CA47F4" w:rsidRDefault="004D773F" w:rsidP="004D773F">
                  <w:pPr>
                    <w:spacing w:after="120"/>
                    <w:rPr>
                      <w:rFonts w:ascii="Calibri" w:eastAsia="Calibri" w:hAnsi="Calibri" w:cs="Calibri"/>
                      <w:b/>
                    </w:rPr>
                  </w:pPr>
                  <w:r w:rsidRPr="00CA47F4">
                    <w:rPr>
                      <w:rFonts w:ascii="Calibri" w:eastAsia="Calibri" w:hAnsi="Calibri" w:cs="Calibri"/>
                      <w:i/>
                      <w:iCs/>
                    </w:rPr>
                    <w:t>Oral PrEP</w:t>
                  </w:r>
                  <w:r w:rsidRPr="00CA47F4">
                    <w:rPr>
                      <w:rFonts w:ascii="Calibri" w:eastAsia="Calibri" w:hAnsi="Calibri" w:cs="Calibri"/>
                    </w:rPr>
                    <w:t xml:space="preserve"> </w:t>
                  </w:r>
                  <w:r w:rsidRPr="00CA47F4">
                    <w:rPr>
                      <w:rFonts w:ascii="Calibri" w:eastAsia="Calibri" w:hAnsi="Calibri" w:cs="Calibri"/>
                      <w:i/>
                      <w:iCs/>
                    </w:rPr>
                    <w:t xml:space="preserve">takes approximately </w:t>
                  </w:r>
                  <w:r w:rsidR="00F3406A">
                    <w:rPr>
                      <w:rFonts w:ascii="Calibri" w:eastAsia="Calibri" w:hAnsi="Calibri" w:cs="Calibri"/>
                      <w:i/>
                      <w:iCs/>
                    </w:rPr>
                    <w:t>seven</w:t>
                  </w:r>
                  <w:r w:rsidRPr="00CA47F4">
                    <w:rPr>
                      <w:rFonts w:ascii="Calibri" w:eastAsia="Calibri" w:hAnsi="Calibri" w:cs="Calibri"/>
                      <w:i/>
                      <w:iCs/>
                    </w:rPr>
                    <w:t xml:space="preserve"> days to be maximally effective for people AFAB and AMAB who are taking </w:t>
                  </w:r>
                  <w:r w:rsidR="005526B2" w:rsidRPr="0014481C">
                    <w:rPr>
                      <w:rFonts w:cs="Calibri"/>
                      <w:i/>
                      <w:iCs/>
                      <w:color w:val="000000" w:themeColor="text1"/>
                    </w:rPr>
                    <w:t>gender-affirming</w:t>
                  </w:r>
                  <w:r w:rsidR="005526B2">
                    <w:rPr>
                      <w:rFonts w:cs="Calibri"/>
                      <w:color w:val="000000" w:themeColor="text1"/>
                    </w:rPr>
                    <w:t xml:space="preserve"> </w:t>
                  </w:r>
                  <w:r w:rsidRPr="00CA47F4">
                    <w:rPr>
                      <w:rFonts w:ascii="Calibri" w:eastAsia="Calibri" w:hAnsi="Calibri" w:cs="Calibri"/>
                      <w:i/>
                      <w:iCs/>
                    </w:rPr>
                    <w:t>exogenous estradiol-based hormones</w:t>
                  </w:r>
                  <w:r w:rsidR="00995073">
                    <w:rPr>
                      <w:rFonts w:ascii="Calibri" w:eastAsia="Calibri" w:hAnsi="Calibri" w:cs="Calibri"/>
                      <w:i/>
                      <w:iCs/>
                    </w:rPr>
                    <w:t>.</w:t>
                  </w:r>
                </w:p>
                <w:p w14:paraId="465C2014" w14:textId="67C3745D" w:rsidR="004D773F" w:rsidRPr="00CA47F4" w:rsidRDefault="004D773F" w:rsidP="004D773F">
                  <w:pPr>
                    <w:spacing w:after="120"/>
                    <w:rPr>
                      <w:rFonts w:ascii="Calibri" w:eastAsia="Calibri" w:hAnsi="Calibri" w:cs="Calibri"/>
                    </w:rPr>
                  </w:pPr>
                  <w:r w:rsidRPr="00CA47F4">
                    <w:rPr>
                      <w:rFonts w:ascii="Calibri" w:eastAsia="Calibri" w:hAnsi="Calibri" w:cs="Calibri"/>
                      <w:b/>
                    </w:rPr>
                    <w:t>Option 1:</w:t>
                  </w:r>
                  <w:r w:rsidRPr="00CA47F4">
                    <w:rPr>
                      <w:rFonts w:ascii="Calibri" w:eastAsia="Calibri" w:hAnsi="Calibri" w:cs="Calibri"/>
                    </w:rPr>
                    <w:t xml:space="preserve"> Start oral PrEP with </w:t>
                  </w:r>
                  <w:r w:rsidR="00311BA3">
                    <w:rPr>
                      <w:rFonts w:ascii="Calibri" w:eastAsia="Calibri" w:hAnsi="Calibri" w:cs="Calibri"/>
                    </w:rPr>
                    <w:t xml:space="preserve">a </w:t>
                  </w:r>
                  <w:r w:rsidRPr="00CA47F4">
                    <w:rPr>
                      <w:rFonts w:ascii="Calibri" w:eastAsia="Calibri" w:hAnsi="Calibri" w:cs="Calibri"/>
                    </w:rPr>
                    <w:t xml:space="preserve">PrEP ring in situ if ≤ 21 days from insertion. Remove </w:t>
                  </w:r>
                  <w:r w:rsidR="00311BA3">
                    <w:rPr>
                      <w:rFonts w:ascii="Calibri" w:eastAsia="Calibri" w:hAnsi="Calibri" w:cs="Calibri"/>
                    </w:rPr>
                    <w:t>the</w:t>
                  </w:r>
                  <w:r w:rsidRPr="00CA47F4">
                    <w:rPr>
                      <w:rFonts w:ascii="Calibri" w:eastAsia="Calibri" w:hAnsi="Calibri" w:cs="Calibri"/>
                    </w:rPr>
                    <w:t xml:space="preserve"> ring seven days after initiating oral PrEP.</w:t>
                  </w:r>
                </w:p>
                <w:p w14:paraId="574787A4" w14:textId="3A6231F3" w:rsidR="004D773F" w:rsidRPr="00CA47F4" w:rsidRDefault="004D773F" w:rsidP="000E3F70">
                  <w:pPr>
                    <w:spacing w:after="120"/>
                    <w:rPr>
                      <w:rFonts w:ascii="Calibri" w:eastAsia="Calibri" w:hAnsi="Calibri" w:cs="Calibri"/>
                      <w:i/>
                      <w:iCs/>
                    </w:rPr>
                  </w:pPr>
                  <w:r w:rsidRPr="00CA47F4">
                    <w:rPr>
                      <w:rFonts w:ascii="Calibri" w:eastAsia="Calibri" w:hAnsi="Calibri" w:cs="Calibri"/>
                      <w:b/>
                    </w:rPr>
                    <w:t>Option 2</w:t>
                  </w:r>
                  <w:r w:rsidRPr="00CA47F4">
                    <w:rPr>
                      <w:rFonts w:ascii="Calibri" w:eastAsia="Calibri" w:hAnsi="Calibri" w:cs="Calibri"/>
                    </w:rPr>
                    <w:t xml:space="preserve">: Remove </w:t>
                  </w:r>
                  <w:r w:rsidR="00311BA3">
                    <w:rPr>
                      <w:rFonts w:ascii="Calibri" w:eastAsia="Calibri" w:hAnsi="Calibri" w:cs="Calibri"/>
                    </w:rPr>
                    <w:t xml:space="preserve">the </w:t>
                  </w:r>
                  <w:r w:rsidRPr="00CA47F4">
                    <w:rPr>
                      <w:rFonts w:ascii="Calibri" w:eastAsia="Calibri" w:hAnsi="Calibri" w:cs="Calibri"/>
                    </w:rPr>
                    <w:t>PrEP ring and start taking oral PrEP on the same day onward. Client</w:t>
                  </w:r>
                  <w:r w:rsidR="000936CF">
                    <w:rPr>
                      <w:rFonts w:ascii="Calibri" w:eastAsia="Calibri" w:hAnsi="Calibri" w:cs="Calibri"/>
                    </w:rPr>
                    <w:t>s</w:t>
                  </w:r>
                  <w:r w:rsidRPr="00CA47F4">
                    <w:rPr>
                      <w:rFonts w:ascii="Calibri" w:eastAsia="Calibri" w:hAnsi="Calibri" w:cs="Calibri"/>
                    </w:rPr>
                    <w:t xml:space="preserve"> should be advised to use additional HIV prevention methods (e.g.</w:t>
                  </w:r>
                  <w:r w:rsidR="000936CF">
                    <w:rPr>
                      <w:rFonts w:ascii="Calibri" w:eastAsia="Calibri" w:hAnsi="Calibri" w:cs="Calibri"/>
                    </w:rPr>
                    <w:t>,</w:t>
                  </w:r>
                  <w:r w:rsidRPr="00CA47F4">
                    <w:rPr>
                      <w:rFonts w:ascii="Calibri" w:eastAsia="Calibri" w:hAnsi="Calibri" w:cs="Calibri"/>
                    </w:rPr>
                    <w:t xml:space="preserve"> condoms) for seven days thereafter.</w:t>
                  </w:r>
                </w:p>
              </w:tc>
            </w:tr>
            <w:tr w:rsidR="00A804F3" w:rsidRPr="00CA47F4" w14:paraId="0D84039E" w14:textId="77777777" w:rsidTr="00A804F3">
              <w:trPr>
                <w:trHeight w:val="80"/>
              </w:trPr>
              <w:tc>
                <w:tcPr>
                  <w:tcW w:w="1075" w:type="dxa"/>
                  <w:vMerge/>
                </w:tcPr>
                <w:p w14:paraId="14DCD0DD" w14:textId="77777777" w:rsidR="004D773F" w:rsidRPr="00CA47F4" w:rsidRDefault="004D773F" w:rsidP="004D773F">
                  <w:pPr>
                    <w:spacing w:after="120"/>
                    <w:rPr>
                      <w:rFonts w:ascii="Calibri" w:eastAsia="Calibri" w:hAnsi="Calibri" w:cs="Calibri"/>
                      <w:b/>
                    </w:rPr>
                  </w:pPr>
                </w:p>
              </w:tc>
              <w:tc>
                <w:tcPr>
                  <w:tcW w:w="1149" w:type="dxa"/>
                </w:tcPr>
                <w:p w14:paraId="76457889"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CAB PrEP</w:t>
                  </w:r>
                </w:p>
              </w:tc>
              <w:tc>
                <w:tcPr>
                  <w:tcW w:w="7920" w:type="dxa"/>
                </w:tcPr>
                <w:p w14:paraId="622E2032" w14:textId="1C52E9E2" w:rsidR="004D773F" w:rsidRPr="00CA47F4" w:rsidRDefault="004D773F" w:rsidP="004D773F">
                  <w:pPr>
                    <w:spacing w:after="120"/>
                    <w:rPr>
                      <w:rFonts w:ascii="Calibri" w:eastAsia="Calibri" w:hAnsi="Calibri" w:cs="Calibri"/>
                      <w:bCs/>
                      <w:i/>
                      <w:iCs/>
                    </w:rPr>
                  </w:pPr>
                  <w:r w:rsidRPr="00CA47F4">
                    <w:rPr>
                      <w:rFonts w:ascii="Calibri" w:hAnsi="Calibri" w:cs="Calibri"/>
                      <w:i/>
                      <w:iCs/>
                    </w:rPr>
                    <w:t xml:space="preserve">CAB PrEP takes approximately </w:t>
                  </w:r>
                  <w:r w:rsidR="00F3406A">
                    <w:rPr>
                      <w:rFonts w:ascii="Calibri" w:hAnsi="Calibri" w:cs="Calibri"/>
                      <w:i/>
                      <w:iCs/>
                    </w:rPr>
                    <w:t>seven</w:t>
                  </w:r>
                  <w:r w:rsidRPr="00CA47F4">
                    <w:rPr>
                      <w:rFonts w:ascii="Calibri" w:hAnsi="Calibri" w:cs="Calibri"/>
                      <w:i/>
                      <w:iCs/>
                    </w:rPr>
                    <w:t xml:space="preserve"> days to become maximally effective</w:t>
                  </w:r>
                  <w:r w:rsidR="00395925">
                    <w:rPr>
                      <w:rFonts w:ascii="Calibri" w:hAnsi="Calibri" w:cs="Calibri"/>
                      <w:i/>
                      <w:iCs/>
                    </w:rPr>
                    <w:t>.</w:t>
                  </w:r>
                </w:p>
                <w:p w14:paraId="1E9604E5" w14:textId="6422F910" w:rsidR="004D773F" w:rsidRPr="00CA47F4" w:rsidRDefault="004D773F" w:rsidP="004D773F">
                  <w:pPr>
                    <w:spacing w:after="120"/>
                    <w:rPr>
                      <w:rFonts w:ascii="Calibri" w:eastAsia="Calibri" w:hAnsi="Calibri" w:cs="Calibri"/>
                    </w:rPr>
                  </w:pPr>
                  <w:r w:rsidRPr="00CA47F4">
                    <w:rPr>
                      <w:rFonts w:ascii="Calibri" w:eastAsia="Calibri" w:hAnsi="Calibri" w:cs="Calibri"/>
                      <w:b/>
                    </w:rPr>
                    <w:t>Option 1</w:t>
                  </w:r>
                  <w:r w:rsidRPr="00CA47F4">
                    <w:rPr>
                      <w:rFonts w:ascii="Calibri" w:eastAsia="Calibri" w:hAnsi="Calibri" w:cs="Calibri"/>
                    </w:rPr>
                    <w:t xml:space="preserve">: Administer CAB PrEP initiation injection 1 while </w:t>
                  </w:r>
                  <w:r w:rsidR="00FE6B70">
                    <w:rPr>
                      <w:rFonts w:ascii="Calibri" w:eastAsia="Calibri" w:hAnsi="Calibri" w:cs="Calibri"/>
                    </w:rPr>
                    <w:t xml:space="preserve">the </w:t>
                  </w:r>
                  <w:r w:rsidRPr="00CA47F4">
                    <w:rPr>
                      <w:rFonts w:ascii="Calibri" w:eastAsia="Calibri" w:hAnsi="Calibri" w:cs="Calibri"/>
                    </w:rPr>
                    <w:t xml:space="preserve">PrEP ring in situ if ≤ 21 days from insertion. Remove </w:t>
                  </w:r>
                  <w:r w:rsidR="00FE6B70">
                    <w:rPr>
                      <w:rFonts w:ascii="Calibri" w:eastAsia="Calibri" w:hAnsi="Calibri" w:cs="Calibri"/>
                    </w:rPr>
                    <w:t>the</w:t>
                  </w:r>
                  <w:r w:rsidRPr="00CA47F4">
                    <w:rPr>
                      <w:rFonts w:ascii="Calibri" w:eastAsia="Calibri" w:hAnsi="Calibri" w:cs="Calibri"/>
                    </w:rPr>
                    <w:t xml:space="preserve"> ring seven days after CAB PrEP injection.</w:t>
                  </w:r>
                </w:p>
                <w:p w14:paraId="282BF2D7" w14:textId="77777777" w:rsidR="004D773F" w:rsidRDefault="004D773F" w:rsidP="004D773F">
                  <w:pPr>
                    <w:spacing w:after="120"/>
                    <w:rPr>
                      <w:rFonts w:ascii="Calibri" w:eastAsia="Calibri" w:hAnsi="Calibri" w:cs="Calibri"/>
                    </w:rPr>
                  </w:pPr>
                  <w:r w:rsidRPr="00CA47F4">
                    <w:rPr>
                      <w:rFonts w:ascii="Calibri" w:eastAsia="Calibri" w:hAnsi="Calibri" w:cs="Calibri"/>
                      <w:b/>
                    </w:rPr>
                    <w:t>Option 2</w:t>
                  </w:r>
                  <w:r w:rsidRPr="00CA47F4">
                    <w:rPr>
                      <w:rFonts w:ascii="Calibri" w:eastAsia="Calibri" w:hAnsi="Calibri" w:cs="Calibri"/>
                    </w:rPr>
                    <w:t xml:space="preserve">: Remove </w:t>
                  </w:r>
                  <w:r w:rsidR="00FE6B70">
                    <w:rPr>
                      <w:rFonts w:ascii="Calibri" w:eastAsia="Calibri" w:hAnsi="Calibri" w:cs="Calibri"/>
                    </w:rPr>
                    <w:t xml:space="preserve">the </w:t>
                  </w:r>
                  <w:r w:rsidRPr="00CA47F4">
                    <w:rPr>
                      <w:rFonts w:ascii="Calibri" w:eastAsia="Calibri" w:hAnsi="Calibri" w:cs="Calibri"/>
                    </w:rPr>
                    <w:t>PrEP ring and administer CAB PrEP initiation injection 1. Client</w:t>
                  </w:r>
                  <w:r w:rsidR="00FE6B70">
                    <w:rPr>
                      <w:rFonts w:ascii="Calibri" w:eastAsia="Calibri" w:hAnsi="Calibri" w:cs="Calibri"/>
                    </w:rPr>
                    <w:t>s</w:t>
                  </w:r>
                  <w:r w:rsidRPr="00CA47F4">
                    <w:rPr>
                      <w:rFonts w:ascii="Calibri" w:eastAsia="Calibri" w:hAnsi="Calibri" w:cs="Calibri"/>
                    </w:rPr>
                    <w:t xml:space="preserve"> should be advised to use additional HIV prevention methods (e.g.</w:t>
                  </w:r>
                  <w:r w:rsidR="00FE6B70">
                    <w:rPr>
                      <w:rFonts w:ascii="Calibri" w:eastAsia="Calibri" w:hAnsi="Calibri" w:cs="Calibri"/>
                    </w:rPr>
                    <w:t>,</w:t>
                  </w:r>
                  <w:r w:rsidRPr="00CA47F4">
                    <w:rPr>
                      <w:rFonts w:ascii="Calibri" w:eastAsia="Calibri" w:hAnsi="Calibri" w:cs="Calibri"/>
                    </w:rPr>
                    <w:t xml:space="preserve"> condoms) for seven days thereafter.</w:t>
                  </w:r>
                </w:p>
                <w:p w14:paraId="7C4679CA" w14:textId="3A8ACFB8" w:rsidR="000E3F70" w:rsidRPr="00A804F3" w:rsidRDefault="000E3F70" w:rsidP="004D773F">
                  <w:pPr>
                    <w:spacing w:after="120"/>
                    <w:rPr>
                      <w:rFonts w:ascii="Calibri" w:eastAsia="Calibri" w:hAnsi="Calibri" w:cs="Calibri"/>
                    </w:rPr>
                  </w:pPr>
                </w:p>
              </w:tc>
            </w:tr>
            <w:tr w:rsidR="004D773F" w:rsidRPr="00CA47F4" w14:paraId="496279C5" w14:textId="77777777" w:rsidTr="00A804F3">
              <w:trPr>
                <w:trHeight w:val="54"/>
              </w:trPr>
              <w:tc>
                <w:tcPr>
                  <w:tcW w:w="1075" w:type="dxa"/>
                </w:tcPr>
                <w:p w14:paraId="44F4BE92" w14:textId="77777777" w:rsidR="004D773F" w:rsidRPr="00CA47F4" w:rsidRDefault="004D773F" w:rsidP="004D773F">
                  <w:pPr>
                    <w:spacing w:after="120"/>
                    <w:rPr>
                      <w:rFonts w:ascii="Calibri" w:eastAsia="Calibri" w:hAnsi="Calibri" w:cs="Calibri"/>
                      <w:b/>
                    </w:rPr>
                  </w:pPr>
                  <w:r w:rsidRPr="00CA47F4">
                    <w:rPr>
                      <w:rFonts w:ascii="Calibri" w:eastAsia="Calibri" w:hAnsi="Calibri" w:cs="Calibri"/>
                      <w:bCs/>
                    </w:rPr>
                    <w:lastRenderedPageBreak/>
                    <w:t>CAB PrEP</w:t>
                  </w:r>
                </w:p>
              </w:tc>
              <w:tc>
                <w:tcPr>
                  <w:tcW w:w="1149" w:type="dxa"/>
                </w:tcPr>
                <w:p w14:paraId="7C3FC1D9"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Oral PrEP</w:t>
                  </w:r>
                </w:p>
              </w:tc>
              <w:tc>
                <w:tcPr>
                  <w:tcW w:w="7920" w:type="dxa"/>
                </w:tcPr>
                <w:p w14:paraId="7A87A2A2" w14:textId="19433F2B" w:rsidR="00F3406A" w:rsidRPr="00CA47F4" w:rsidRDefault="00F3406A" w:rsidP="00F3406A">
                  <w:pPr>
                    <w:spacing w:after="120"/>
                    <w:rPr>
                      <w:rFonts w:ascii="Calibri" w:eastAsia="Calibri" w:hAnsi="Calibri" w:cs="Calibri"/>
                      <w:b/>
                    </w:rPr>
                  </w:pPr>
                  <w:r w:rsidRPr="00CA47F4">
                    <w:rPr>
                      <w:rFonts w:ascii="Calibri" w:eastAsia="Calibri" w:hAnsi="Calibri" w:cs="Calibri"/>
                      <w:i/>
                      <w:iCs/>
                    </w:rPr>
                    <w:t>Oral PrEP</w:t>
                  </w:r>
                  <w:r w:rsidRPr="00CA47F4">
                    <w:rPr>
                      <w:rFonts w:ascii="Calibri" w:eastAsia="Calibri" w:hAnsi="Calibri" w:cs="Calibri"/>
                    </w:rPr>
                    <w:t xml:space="preserve"> </w:t>
                  </w:r>
                  <w:r w:rsidRPr="00CA47F4">
                    <w:rPr>
                      <w:rFonts w:ascii="Calibri" w:eastAsia="Calibri" w:hAnsi="Calibri" w:cs="Calibri"/>
                      <w:i/>
                      <w:iCs/>
                    </w:rPr>
                    <w:t xml:space="preserve">takes approximately </w:t>
                  </w:r>
                  <w:r>
                    <w:rPr>
                      <w:rFonts w:ascii="Calibri" w:eastAsia="Calibri" w:hAnsi="Calibri" w:cs="Calibri"/>
                      <w:i/>
                      <w:iCs/>
                    </w:rPr>
                    <w:t>seven</w:t>
                  </w:r>
                  <w:r w:rsidRPr="00CA47F4">
                    <w:rPr>
                      <w:rFonts w:ascii="Calibri" w:eastAsia="Calibri" w:hAnsi="Calibri" w:cs="Calibri"/>
                      <w:i/>
                      <w:iCs/>
                    </w:rPr>
                    <w:t xml:space="preserve"> days to be maximally effective for people AFAB and AMAB who are taking </w:t>
                  </w:r>
                  <w:r w:rsidR="005526B2" w:rsidRPr="0014481C">
                    <w:rPr>
                      <w:rFonts w:cs="Calibri"/>
                      <w:i/>
                      <w:iCs/>
                      <w:color w:val="000000" w:themeColor="text1"/>
                    </w:rPr>
                    <w:t>gender-affirming</w:t>
                  </w:r>
                  <w:r w:rsidR="005526B2">
                    <w:rPr>
                      <w:rFonts w:cs="Calibri"/>
                      <w:color w:val="000000" w:themeColor="text1"/>
                    </w:rPr>
                    <w:t xml:space="preserve"> </w:t>
                  </w:r>
                  <w:r w:rsidRPr="00CA47F4">
                    <w:rPr>
                      <w:rFonts w:ascii="Calibri" w:eastAsia="Calibri" w:hAnsi="Calibri" w:cs="Calibri"/>
                      <w:i/>
                      <w:iCs/>
                    </w:rPr>
                    <w:t>exogenous estradiol-based hormones</w:t>
                  </w:r>
                  <w:r>
                    <w:rPr>
                      <w:rFonts w:ascii="Calibri" w:eastAsia="Calibri" w:hAnsi="Calibri" w:cs="Calibri"/>
                      <w:i/>
                      <w:iCs/>
                    </w:rPr>
                    <w:t>. Oral PrEP takes</w:t>
                  </w:r>
                  <w:r w:rsidR="00E7262C">
                    <w:rPr>
                      <w:rFonts w:ascii="Calibri" w:eastAsia="Calibri" w:hAnsi="Calibri" w:cs="Calibri"/>
                      <w:i/>
                      <w:iCs/>
                    </w:rPr>
                    <w:t xml:space="preserve"> approximately 24 hours to be maximally effective for people AMAB not taking </w:t>
                  </w:r>
                  <w:r w:rsidR="005526B2" w:rsidRPr="0014481C">
                    <w:rPr>
                      <w:rFonts w:cs="Calibri"/>
                      <w:i/>
                      <w:iCs/>
                      <w:color w:val="000000" w:themeColor="text1"/>
                    </w:rPr>
                    <w:t>gender-affirming</w:t>
                  </w:r>
                  <w:r w:rsidR="005526B2">
                    <w:rPr>
                      <w:rFonts w:cs="Calibri"/>
                      <w:i/>
                      <w:iCs/>
                      <w:color w:val="000000" w:themeColor="text1"/>
                    </w:rPr>
                    <w:t xml:space="preserve"> </w:t>
                  </w:r>
                  <w:r w:rsidR="00E7262C">
                    <w:rPr>
                      <w:rFonts w:ascii="Calibri" w:eastAsia="Calibri" w:hAnsi="Calibri" w:cs="Calibri"/>
                      <w:i/>
                      <w:iCs/>
                    </w:rPr>
                    <w:t>exogenous estradiol-based hormones.</w:t>
                  </w:r>
                </w:p>
                <w:p w14:paraId="34FCA7BB" w14:textId="7E90E8D4" w:rsidR="004D773F" w:rsidRPr="00CA47F4" w:rsidRDefault="004D773F" w:rsidP="004D773F">
                  <w:pPr>
                    <w:spacing w:after="120"/>
                    <w:rPr>
                      <w:rFonts w:ascii="Calibri" w:hAnsi="Calibri" w:cs="Calibri"/>
                    </w:rPr>
                  </w:pPr>
                  <w:r w:rsidRPr="00CA47F4">
                    <w:rPr>
                      <w:rFonts w:ascii="Calibri" w:hAnsi="Calibri" w:cs="Calibri"/>
                      <w:b/>
                      <w:bCs/>
                    </w:rPr>
                    <w:t>Client has had CAB PrEP initiation injection 1</w:t>
                  </w:r>
                  <w:r w:rsidRPr="00CA47F4">
                    <w:rPr>
                      <w:rFonts w:ascii="Calibri" w:hAnsi="Calibri" w:cs="Calibri"/>
                    </w:rPr>
                    <w:t xml:space="preserve">: Because CAB PrEP initiation injection 1 provides protection for one month, start oral PrEP one month after </w:t>
                  </w:r>
                  <w:r w:rsidR="002752DB">
                    <w:rPr>
                      <w:rFonts w:ascii="Calibri" w:hAnsi="Calibri" w:cs="Calibri"/>
                    </w:rPr>
                    <w:t xml:space="preserve">the </w:t>
                  </w:r>
                  <w:r w:rsidRPr="00CA47F4">
                    <w:rPr>
                      <w:rFonts w:ascii="Calibri" w:hAnsi="Calibri" w:cs="Calibri"/>
                    </w:rPr>
                    <w:t>last CAB PrEP injection. If the initiation injection 1 was &gt;</w:t>
                  </w:r>
                  <w:r w:rsidR="00913CF0">
                    <w:rPr>
                      <w:rFonts w:ascii="Calibri" w:hAnsi="Calibri" w:cs="Calibri"/>
                    </w:rPr>
                    <w:t xml:space="preserve"> five</w:t>
                  </w:r>
                  <w:r w:rsidRPr="00CA47F4">
                    <w:rPr>
                      <w:rFonts w:ascii="Calibri" w:hAnsi="Calibri" w:cs="Calibri"/>
                    </w:rPr>
                    <w:t xml:space="preserve"> weeks prior:</w:t>
                  </w:r>
                </w:p>
                <w:p w14:paraId="5BBB7B30" w14:textId="1145701A" w:rsidR="004D773F" w:rsidRPr="00CA47F4" w:rsidRDefault="004D773F" w:rsidP="004D773F">
                  <w:pPr>
                    <w:pStyle w:val="ListParagraph"/>
                    <w:numPr>
                      <w:ilvl w:val="1"/>
                      <w:numId w:val="51"/>
                    </w:numPr>
                    <w:spacing w:after="120"/>
                    <w:rPr>
                      <w:rFonts w:ascii="Calibri" w:hAnsi="Calibri" w:cs="Calibri"/>
                    </w:rPr>
                  </w:pPr>
                  <w:r w:rsidRPr="00CA47F4">
                    <w:rPr>
                      <w:rFonts w:ascii="Calibri" w:hAnsi="Calibri" w:cs="Calibri"/>
                      <w:b/>
                      <w:bCs/>
                    </w:rPr>
                    <w:t xml:space="preserve">For clients AFAB or AMAB using </w:t>
                  </w:r>
                  <w:r w:rsidR="00CF785C">
                    <w:rPr>
                      <w:rFonts w:ascii="Calibri" w:eastAsia="Calibri" w:hAnsi="Calibri" w:cs="Calibri"/>
                      <w:b/>
                      <w:bCs/>
                    </w:rPr>
                    <w:t>exogenous estradiol-based hormones</w:t>
                  </w:r>
                  <w:r w:rsidRPr="00CA47F4">
                    <w:rPr>
                      <w:rFonts w:ascii="Calibri" w:hAnsi="Calibri" w:cs="Calibri"/>
                    </w:rPr>
                    <w:t xml:space="preserve">: </w:t>
                  </w:r>
                  <w:r w:rsidR="00BC4D8C">
                    <w:rPr>
                      <w:rFonts w:ascii="Calibri" w:hAnsi="Calibri" w:cs="Calibri"/>
                    </w:rPr>
                    <w:t>A</w:t>
                  </w:r>
                  <w:r w:rsidRPr="00CA47F4">
                    <w:rPr>
                      <w:rFonts w:ascii="Calibri" w:hAnsi="Calibri" w:cs="Calibri"/>
                    </w:rPr>
                    <w:t>dvise client</w:t>
                  </w:r>
                  <w:r w:rsidR="00BC4D8C">
                    <w:rPr>
                      <w:rFonts w:ascii="Calibri" w:hAnsi="Calibri" w:cs="Calibri"/>
                    </w:rPr>
                    <w:t>s</w:t>
                  </w:r>
                  <w:r w:rsidRPr="00CA47F4">
                    <w:rPr>
                      <w:rFonts w:ascii="Calibri" w:hAnsi="Calibri" w:cs="Calibri"/>
                    </w:rPr>
                    <w:t xml:space="preserve"> to use additional HIV prevention methods </w:t>
                  </w:r>
                  <w:r w:rsidRPr="00CA47F4">
                    <w:rPr>
                      <w:rFonts w:ascii="Calibri" w:eastAsia="Calibri" w:hAnsi="Calibri" w:cs="Calibri"/>
                    </w:rPr>
                    <w:t>(e.g.</w:t>
                  </w:r>
                  <w:r w:rsidR="00BC4D8C">
                    <w:rPr>
                      <w:rFonts w:ascii="Calibri" w:eastAsia="Calibri" w:hAnsi="Calibri" w:cs="Calibri"/>
                    </w:rPr>
                    <w:t>,</w:t>
                  </w:r>
                  <w:r w:rsidRPr="00CA47F4">
                    <w:rPr>
                      <w:rFonts w:ascii="Calibri" w:eastAsia="Calibri" w:hAnsi="Calibri" w:cs="Calibri"/>
                    </w:rPr>
                    <w:t xml:space="preserve"> condoms) </w:t>
                  </w:r>
                  <w:r w:rsidRPr="00CA47F4">
                    <w:rPr>
                      <w:rFonts w:ascii="Calibri" w:hAnsi="Calibri" w:cs="Calibri"/>
                    </w:rPr>
                    <w:t>for the first seven days until oral PrEP becomes maximally effective.</w:t>
                  </w:r>
                </w:p>
                <w:p w14:paraId="4271BA80" w14:textId="24BD52C1" w:rsidR="004D773F" w:rsidRPr="00CA47F4" w:rsidRDefault="004D773F" w:rsidP="004D773F">
                  <w:pPr>
                    <w:pStyle w:val="ListParagraph"/>
                    <w:numPr>
                      <w:ilvl w:val="1"/>
                      <w:numId w:val="51"/>
                    </w:numPr>
                    <w:spacing w:after="120"/>
                    <w:rPr>
                      <w:rFonts w:ascii="Calibri" w:hAnsi="Calibri" w:cs="Calibri"/>
                    </w:rPr>
                  </w:pPr>
                  <w:r w:rsidRPr="00CA47F4">
                    <w:rPr>
                      <w:rFonts w:ascii="Calibri" w:hAnsi="Calibri" w:cs="Calibri"/>
                      <w:b/>
                      <w:bCs/>
                    </w:rPr>
                    <w:t xml:space="preserve">For clients AMAB not using </w:t>
                  </w:r>
                  <w:r w:rsidR="00CF785C">
                    <w:rPr>
                      <w:rFonts w:ascii="Calibri" w:eastAsia="Calibri" w:hAnsi="Calibri" w:cs="Calibri"/>
                      <w:b/>
                      <w:bCs/>
                    </w:rPr>
                    <w:t>exogenous estradiol-based hormones</w:t>
                  </w:r>
                  <w:r w:rsidRPr="00CA47F4">
                    <w:rPr>
                      <w:rFonts w:ascii="Calibri" w:hAnsi="Calibri" w:cs="Calibri"/>
                    </w:rPr>
                    <w:t xml:space="preserve">: </w:t>
                  </w:r>
                  <w:r w:rsidR="00BC4D8C">
                    <w:rPr>
                      <w:rFonts w:ascii="Calibri" w:hAnsi="Calibri" w:cs="Calibri"/>
                    </w:rPr>
                    <w:t>C</w:t>
                  </w:r>
                  <w:r w:rsidRPr="00CA47F4">
                    <w:rPr>
                      <w:rFonts w:ascii="Calibri" w:hAnsi="Calibri" w:cs="Calibri"/>
                    </w:rPr>
                    <w:t>onsider starting with two tablets of oral PrEP 2</w:t>
                  </w:r>
                  <w:r w:rsidR="00BC4D8C">
                    <w:rPr>
                      <w:rFonts w:ascii="Calibri" w:hAnsi="Calibri" w:cs="Calibri"/>
                    </w:rPr>
                    <w:t>–</w:t>
                  </w:r>
                  <w:r w:rsidRPr="00CA47F4">
                    <w:rPr>
                      <w:rFonts w:ascii="Calibri" w:hAnsi="Calibri" w:cs="Calibri"/>
                    </w:rPr>
                    <w:t xml:space="preserve">24 hours before sexual exposure and continuing daily as needed until two days after </w:t>
                  </w:r>
                  <w:r w:rsidR="00BC4D8C">
                    <w:rPr>
                      <w:rFonts w:ascii="Calibri" w:hAnsi="Calibri" w:cs="Calibri"/>
                    </w:rPr>
                    <w:t xml:space="preserve">the </w:t>
                  </w:r>
                  <w:r w:rsidRPr="00CA47F4">
                    <w:rPr>
                      <w:rFonts w:ascii="Calibri" w:hAnsi="Calibri" w:cs="Calibri"/>
                    </w:rPr>
                    <w:t>last sexual exposure. NB: Client can use daily regimen or infrequent event regimen as needed thereafter.</w:t>
                  </w:r>
                </w:p>
                <w:p w14:paraId="200CA714" w14:textId="14AB1AA2" w:rsidR="004D773F" w:rsidRPr="00CA47F4" w:rsidRDefault="004D773F" w:rsidP="004D773F">
                  <w:pPr>
                    <w:spacing w:after="120"/>
                    <w:rPr>
                      <w:rFonts w:ascii="Calibri" w:eastAsia="Calibri" w:hAnsi="Calibri" w:cs="Calibri"/>
                    </w:rPr>
                  </w:pPr>
                  <w:r w:rsidRPr="00CA47F4">
                    <w:rPr>
                      <w:rFonts w:ascii="Calibri" w:hAnsi="Calibri" w:cs="Calibri"/>
                      <w:b/>
                      <w:bCs/>
                    </w:rPr>
                    <w:t>Client has had two or more injections</w:t>
                  </w:r>
                  <w:r w:rsidRPr="00CA47F4">
                    <w:rPr>
                      <w:rFonts w:ascii="Calibri" w:hAnsi="Calibri" w:cs="Calibri"/>
                    </w:rPr>
                    <w:t xml:space="preserve">: Because CAB PrEP initiation injection 2 and follow-up injections provide protection for two months, start oral PrEP </w:t>
                  </w:r>
                  <w:r w:rsidRPr="00CA47F4">
                    <w:rPr>
                      <w:rFonts w:ascii="Calibri" w:eastAsia="Calibri" w:hAnsi="Calibri" w:cs="Calibri"/>
                    </w:rPr>
                    <w:t xml:space="preserve">two months after </w:t>
                  </w:r>
                  <w:r w:rsidR="00486A9D">
                    <w:rPr>
                      <w:rFonts w:ascii="Calibri" w:eastAsia="Calibri" w:hAnsi="Calibri" w:cs="Calibri"/>
                    </w:rPr>
                    <w:t xml:space="preserve">the </w:t>
                  </w:r>
                  <w:r w:rsidRPr="00CA47F4">
                    <w:rPr>
                      <w:rFonts w:ascii="Calibri" w:eastAsia="Calibri" w:hAnsi="Calibri" w:cs="Calibri"/>
                    </w:rPr>
                    <w:t>last CAB PrEP injection.</w:t>
                  </w:r>
                  <w:r w:rsidRPr="00CA47F4">
                    <w:rPr>
                      <w:rFonts w:ascii="Calibri" w:hAnsi="Calibri" w:cs="Calibri"/>
                    </w:rPr>
                    <w:t xml:space="preserve"> If </w:t>
                  </w:r>
                  <w:r w:rsidR="00486A9D">
                    <w:rPr>
                      <w:rFonts w:ascii="Calibri" w:hAnsi="Calibri" w:cs="Calibri"/>
                    </w:rPr>
                    <w:t xml:space="preserve">the </w:t>
                  </w:r>
                  <w:r w:rsidRPr="00CA47F4">
                    <w:rPr>
                      <w:rFonts w:ascii="Calibri" w:hAnsi="Calibri" w:cs="Calibri"/>
                    </w:rPr>
                    <w:t>last follow-up injection or initiation injection 2 was &gt;</w:t>
                  </w:r>
                  <w:r w:rsidR="00AD2F3B">
                    <w:rPr>
                      <w:rFonts w:ascii="Calibri" w:hAnsi="Calibri" w:cs="Calibri"/>
                    </w:rPr>
                    <w:t xml:space="preserve"> nine</w:t>
                  </w:r>
                  <w:r w:rsidRPr="00CA47F4">
                    <w:rPr>
                      <w:rFonts w:ascii="Calibri" w:hAnsi="Calibri" w:cs="Calibri"/>
                    </w:rPr>
                    <w:t xml:space="preserve"> weeks prior:</w:t>
                  </w:r>
                </w:p>
                <w:p w14:paraId="2072774B" w14:textId="15D81CD8" w:rsidR="004D773F" w:rsidRPr="00CA47F4" w:rsidRDefault="004D773F" w:rsidP="004D773F">
                  <w:pPr>
                    <w:pStyle w:val="ListParagraph"/>
                    <w:numPr>
                      <w:ilvl w:val="1"/>
                      <w:numId w:val="51"/>
                    </w:numPr>
                    <w:rPr>
                      <w:rFonts w:ascii="Calibri" w:eastAsia="Calibri" w:hAnsi="Calibri" w:cs="Calibri"/>
                    </w:rPr>
                  </w:pPr>
                  <w:r w:rsidRPr="00CA47F4">
                    <w:rPr>
                      <w:rFonts w:ascii="Calibri" w:hAnsi="Calibri" w:cs="Calibri"/>
                      <w:b/>
                      <w:bCs/>
                    </w:rPr>
                    <w:t xml:space="preserve">For clients AFAB or AMAB using </w:t>
                  </w:r>
                  <w:r w:rsidR="00CF785C">
                    <w:rPr>
                      <w:rFonts w:ascii="Calibri" w:eastAsia="Calibri" w:hAnsi="Calibri" w:cs="Calibri"/>
                      <w:b/>
                      <w:bCs/>
                    </w:rPr>
                    <w:t>exogenous estradiol-based hormones</w:t>
                  </w:r>
                  <w:r w:rsidRPr="00CA47F4">
                    <w:rPr>
                      <w:rFonts w:ascii="Calibri" w:hAnsi="Calibri" w:cs="Calibri"/>
                    </w:rPr>
                    <w:t xml:space="preserve">: </w:t>
                  </w:r>
                  <w:r w:rsidR="00964C95">
                    <w:rPr>
                      <w:rFonts w:ascii="Calibri" w:hAnsi="Calibri" w:cs="Calibri"/>
                    </w:rPr>
                    <w:t>A</w:t>
                  </w:r>
                  <w:r w:rsidRPr="00CA47F4">
                    <w:rPr>
                      <w:rFonts w:ascii="Calibri" w:hAnsi="Calibri" w:cs="Calibri"/>
                    </w:rPr>
                    <w:t>dvise</w:t>
                  </w:r>
                  <w:r w:rsidRPr="00CA47F4">
                    <w:rPr>
                      <w:rFonts w:ascii="Calibri" w:eastAsia="Calibri" w:hAnsi="Calibri" w:cs="Calibri"/>
                    </w:rPr>
                    <w:t xml:space="preserve"> clien</w:t>
                  </w:r>
                  <w:r w:rsidR="00AD2F3B">
                    <w:rPr>
                      <w:rFonts w:ascii="Calibri" w:eastAsia="Calibri" w:hAnsi="Calibri" w:cs="Calibri"/>
                    </w:rPr>
                    <w:t>t</w:t>
                  </w:r>
                  <w:r w:rsidR="00964C95">
                    <w:rPr>
                      <w:rFonts w:ascii="Calibri" w:eastAsia="Calibri" w:hAnsi="Calibri" w:cs="Calibri"/>
                    </w:rPr>
                    <w:t>s</w:t>
                  </w:r>
                  <w:r w:rsidRPr="00CA47F4">
                    <w:rPr>
                      <w:rFonts w:ascii="Calibri" w:eastAsia="Calibri" w:hAnsi="Calibri" w:cs="Calibri"/>
                    </w:rPr>
                    <w:t xml:space="preserve"> to use </w:t>
                  </w:r>
                  <w:r w:rsidRPr="00CA47F4">
                    <w:rPr>
                      <w:rFonts w:ascii="Calibri" w:hAnsi="Calibri" w:cs="Calibri"/>
                    </w:rPr>
                    <w:t>additional</w:t>
                  </w:r>
                  <w:r w:rsidRPr="00CA47F4">
                    <w:rPr>
                      <w:rFonts w:ascii="Calibri" w:eastAsia="Calibri" w:hAnsi="Calibri" w:cs="Calibri"/>
                    </w:rPr>
                    <w:t xml:space="preserve"> HIV prevention (e.g.</w:t>
                  </w:r>
                  <w:r w:rsidR="00964C95">
                    <w:rPr>
                      <w:rFonts w:ascii="Calibri" w:eastAsia="Calibri" w:hAnsi="Calibri" w:cs="Calibri"/>
                    </w:rPr>
                    <w:t>,</w:t>
                  </w:r>
                  <w:r w:rsidRPr="00CA47F4">
                    <w:rPr>
                      <w:rFonts w:ascii="Calibri" w:eastAsia="Calibri" w:hAnsi="Calibri" w:cs="Calibri"/>
                    </w:rPr>
                    <w:t xml:space="preserve"> condoms) for seven days until oral PrEP becomes maximally effective.</w:t>
                  </w:r>
                </w:p>
                <w:p w14:paraId="6DCD302D" w14:textId="4AEC7D54" w:rsidR="004D773F" w:rsidRPr="00A804F3" w:rsidRDefault="004D773F" w:rsidP="004D773F">
                  <w:pPr>
                    <w:pStyle w:val="ListParagraph"/>
                    <w:numPr>
                      <w:ilvl w:val="1"/>
                      <w:numId w:val="51"/>
                    </w:numPr>
                    <w:rPr>
                      <w:rFonts w:ascii="Calibri" w:hAnsi="Calibri" w:cs="Calibri"/>
                    </w:rPr>
                  </w:pPr>
                  <w:r w:rsidRPr="00CA47F4">
                    <w:rPr>
                      <w:rFonts w:ascii="Calibri" w:eastAsia="Calibri" w:hAnsi="Calibri" w:cs="Calibri"/>
                      <w:b/>
                      <w:bCs/>
                    </w:rPr>
                    <w:t xml:space="preserve">For clients AMAB not using </w:t>
                  </w:r>
                  <w:r w:rsidR="00CF785C">
                    <w:rPr>
                      <w:rFonts w:ascii="Calibri" w:eastAsia="Calibri" w:hAnsi="Calibri" w:cs="Calibri"/>
                      <w:b/>
                      <w:bCs/>
                    </w:rPr>
                    <w:t>exogenous estradiol-based hormones</w:t>
                  </w:r>
                  <w:r w:rsidRPr="00CA47F4">
                    <w:rPr>
                      <w:rFonts w:ascii="Calibri" w:eastAsia="Calibri" w:hAnsi="Calibri" w:cs="Calibri"/>
                    </w:rPr>
                    <w:t xml:space="preserve">: </w:t>
                  </w:r>
                  <w:r w:rsidR="004C7C82">
                    <w:rPr>
                      <w:rFonts w:ascii="Calibri" w:eastAsia="Calibri" w:hAnsi="Calibri" w:cs="Calibri"/>
                    </w:rPr>
                    <w:t>C</w:t>
                  </w:r>
                  <w:r w:rsidRPr="00CA47F4">
                    <w:rPr>
                      <w:rFonts w:ascii="Calibri" w:eastAsia="Calibri" w:hAnsi="Calibri" w:cs="Calibri"/>
                    </w:rPr>
                    <w:t>onsider starting with two tablets of oral PrEP 2</w:t>
                  </w:r>
                  <w:r w:rsidR="004C7C82">
                    <w:rPr>
                      <w:rFonts w:ascii="Calibri" w:eastAsia="Calibri" w:hAnsi="Calibri" w:cs="Calibri"/>
                    </w:rPr>
                    <w:t>–</w:t>
                  </w:r>
                  <w:r w:rsidRPr="00CA47F4">
                    <w:rPr>
                      <w:rFonts w:ascii="Calibri" w:eastAsia="Calibri" w:hAnsi="Calibri" w:cs="Calibri"/>
                    </w:rPr>
                    <w:t xml:space="preserve">24 hours before sexual exposure and continuing daily as needed until two days after last sexual exposure. NB: Client can </w:t>
                  </w:r>
                  <w:r w:rsidRPr="00CA47F4">
                    <w:rPr>
                      <w:rFonts w:ascii="Calibri" w:hAnsi="Calibri" w:cs="Calibri"/>
                    </w:rPr>
                    <w:t xml:space="preserve">use daily regimen or infrequent event regimen </w:t>
                  </w:r>
                  <w:r w:rsidRPr="00CA47F4">
                    <w:rPr>
                      <w:rFonts w:ascii="Calibri" w:eastAsia="Calibri" w:hAnsi="Calibri" w:cs="Calibri"/>
                    </w:rPr>
                    <w:t>thereafter as needed.</w:t>
                  </w:r>
                </w:p>
                <w:p w14:paraId="62574798" w14:textId="77777777" w:rsidR="004D773F" w:rsidRPr="00CA47F4" w:rsidRDefault="004D773F" w:rsidP="00A804F3">
                  <w:pPr>
                    <w:pStyle w:val="ListParagraph"/>
                    <w:ind w:left="1080"/>
                    <w:rPr>
                      <w:rFonts w:ascii="Calibri" w:hAnsi="Calibri" w:cs="Calibri"/>
                    </w:rPr>
                  </w:pPr>
                </w:p>
              </w:tc>
            </w:tr>
            <w:tr w:rsidR="004D773F" w:rsidRPr="00CA47F4" w14:paraId="1720D6C6" w14:textId="77777777" w:rsidTr="00A804F3">
              <w:trPr>
                <w:trHeight w:val="2807"/>
              </w:trPr>
              <w:tc>
                <w:tcPr>
                  <w:tcW w:w="1075" w:type="dxa"/>
                </w:tcPr>
                <w:p w14:paraId="61E65574" w14:textId="77777777" w:rsidR="004D773F" w:rsidRPr="00CA47F4" w:rsidRDefault="004D773F" w:rsidP="004D773F">
                  <w:pPr>
                    <w:spacing w:after="120"/>
                    <w:rPr>
                      <w:rFonts w:ascii="Calibri" w:eastAsia="Calibri" w:hAnsi="Calibri" w:cs="Calibri"/>
                      <w:bCs/>
                    </w:rPr>
                  </w:pPr>
                </w:p>
              </w:tc>
              <w:tc>
                <w:tcPr>
                  <w:tcW w:w="1149" w:type="dxa"/>
                </w:tcPr>
                <w:p w14:paraId="5C6929A4"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PrEP ring</w:t>
                  </w:r>
                </w:p>
              </w:tc>
              <w:tc>
                <w:tcPr>
                  <w:tcW w:w="7920" w:type="dxa"/>
                </w:tcPr>
                <w:p w14:paraId="52204E81" w14:textId="0521C2FC" w:rsidR="00BF3C0C" w:rsidRPr="00FC50AA" w:rsidRDefault="00524C23" w:rsidP="004D773F">
                  <w:pPr>
                    <w:spacing w:after="120"/>
                    <w:rPr>
                      <w:rFonts w:ascii="Calibri" w:eastAsia="Calibri" w:hAnsi="Calibri" w:cs="Calibri"/>
                      <w:i/>
                      <w:iCs/>
                    </w:rPr>
                  </w:pPr>
                  <w:r>
                    <w:rPr>
                      <w:rFonts w:ascii="Calibri" w:eastAsia="Calibri" w:hAnsi="Calibri" w:cs="Calibri"/>
                      <w:i/>
                      <w:iCs/>
                    </w:rPr>
                    <w:t xml:space="preserve">The </w:t>
                  </w:r>
                  <w:r w:rsidR="00BF3C0C" w:rsidRPr="00CA47F4">
                    <w:rPr>
                      <w:rFonts w:ascii="Calibri" w:eastAsia="Calibri" w:hAnsi="Calibri" w:cs="Calibri"/>
                      <w:i/>
                      <w:iCs/>
                    </w:rPr>
                    <w:t>PrEP ring takes approximately 24 hours to become maximally effective</w:t>
                  </w:r>
                  <w:r w:rsidR="0001122E">
                    <w:rPr>
                      <w:rFonts w:ascii="Calibri" w:eastAsia="Calibri" w:hAnsi="Calibri" w:cs="Calibri"/>
                      <w:i/>
                      <w:iCs/>
                    </w:rPr>
                    <w:t>.</w:t>
                  </w:r>
                </w:p>
                <w:p w14:paraId="496F6500" w14:textId="6D90CE56" w:rsidR="004D773F" w:rsidRPr="00CA47F4" w:rsidRDefault="004D773F" w:rsidP="004D773F">
                  <w:pPr>
                    <w:spacing w:after="120"/>
                    <w:rPr>
                      <w:rFonts w:ascii="Calibri" w:eastAsia="Calibri" w:hAnsi="Calibri" w:cs="Calibri"/>
                    </w:rPr>
                  </w:pPr>
                  <w:r w:rsidRPr="00CA47F4">
                    <w:rPr>
                      <w:rFonts w:ascii="Calibri" w:eastAsia="Calibri" w:hAnsi="Calibri" w:cs="Calibri"/>
                      <w:b/>
                      <w:bCs/>
                    </w:rPr>
                    <w:t>Client has had CAB PrEP initiation injection 1</w:t>
                  </w:r>
                  <w:r w:rsidRPr="00CA47F4">
                    <w:rPr>
                      <w:rFonts w:ascii="Calibri" w:eastAsia="Calibri" w:hAnsi="Calibri" w:cs="Calibri"/>
                    </w:rPr>
                    <w:t xml:space="preserve">: Because CAB PrEP initiation injection 1 provides protection for one month, insert </w:t>
                  </w:r>
                  <w:r w:rsidR="00B377D4">
                    <w:rPr>
                      <w:rFonts w:ascii="Calibri" w:eastAsia="Calibri" w:hAnsi="Calibri" w:cs="Calibri"/>
                    </w:rPr>
                    <w:t xml:space="preserve">a </w:t>
                  </w:r>
                  <w:proofErr w:type="gramStart"/>
                  <w:r w:rsidRPr="00CA47F4">
                    <w:rPr>
                      <w:rFonts w:ascii="Calibri" w:eastAsia="Calibri" w:hAnsi="Calibri" w:cs="Calibri"/>
                    </w:rPr>
                    <w:t>PrEP</w:t>
                  </w:r>
                  <w:proofErr w:type="gramEnd"/>
                  <w:r w:rsidRPr="00CA47F4">
                    <w:rPr>
                      <w:rFonts w:ascii="Calibri" w:eastAsia="Calibri" w:hAnsi="Calibri" w:cs="Calibri"/>
                    </w:rPr>
                    <w:t xml:space="preserve"> ring one month after the last CAB PrEP injection. If initiation injection 1 was &gt;</w:t>
                  </w:r>
                  <w:r w:rsidR="005E0863">
                    <w:rPr>
                      <w:rFonts w:ascii="Calibri" w:eastAsia="Calibri" w:hAnsi="Calibri" w:cs="Calibri"/>
                    </w:rPr>
                    <w:t xml:space="preserve"> five</w:t>
                  </w:r>
                  <w:r w:rsidRPr="00CA47F4">
                    <w:rPr>
                      <w:rFonts w:ascii="Calibri" w:eastAsia="Calibri" w:hAnsi="Calibri" w:cs="Calibri"/>
                    </w:rPr>
                    <w:t xml:space="preserve"> weeks prior, advise client</w:t>
                  </w:r>
                  <w:r w:rsidR="00B377D4">
                    <w:rPr>
                      <w:rFonts w:ascii="Calibri" w:eastAsia="Calibri" w:hAnsi="Calibri" w:cs="Calibri"/>
                    </w:rPr>
                    <w:t>s</w:t>
                  </w:r>
                  <w:r w:rsidRPr="00CA47F4">
                    <w:rPr>
                      <w:rFonts w:ascii="Calibri" w:eastAsia="Calibri" w:hAnsi="Calibri" w:cs="Calibri"/>
                    </w:rPr>
                    <w:t xml:space="preserve"> to use additional HIV prevention methods (e.g.</w:t>
                  </w:r>
                  <w:r w:rsidR="00B377D4">
                    <w:rPr>
                      <w:rFonts w:ascii="Calibri" w:eastAsia="Calibri" w:hAnsi="Calibri" w:cs="Calibri"/>
                    </w:rPr>
                    <w:t>,</w:t>
                  </w:r>
                  <w:r w:rsidRPr="00CA47F4">
                    <w:rPr>
                      <w:rFonts w:ascii="Calibri" w:eastAsia="Calibri" w:hAnsi="Calibri" w:cs="Calibri"/>
                    </w:rPr>
                    <w:t xml:space="preserve"> condoms) for 24 hours until </w:t>
                  </w:r>
                  <w:r w:rsidR="00B377D4">
                    <w:rPr>
                      <w:rFonts w:ascii="Calibri" w:eastAsia="Calibri" w:hAnsi="Calibri" w:cs="Calibri"/>
                    </w:rPr>
                    <w:t xml:space="preserve">the </w:t>
                  </w:r>
                  <w:r w:rsidRPr="00CA47F4">
                    <w:rPr>
                      <w:rFonts w:ascii="Calibri" w:eastAsia="Calibri" w:hAnsi="Calibri" w:cs="Calibri"/>
                    </w:rPr>
                    <w:t>ring becomes maximally effective.</w:t>
                  </w:r>
                </w:p>
                <w:p w14:paraId="51828478" w14:textId="5BD41DCA" w:rsidR="004D773F" w:rsidRPr="00CA47F4" w:rsidRDefault="004D773F" w:rsidP="002C21D6">
                  <w:pPr>
                    <w:spacing w:after="120"/>
                    <w:rPr>
                      <w:rFonts w:ascii="Calibri" w:eastAsia="Calibri" w:hAnsi="Calibri" w:cs="Calibri"/>
                      <w:i/>
                      <w:iCs/>
                    </w:rPr>
                  </w:pPr>
                  <w:r w:rsidRPr="00CA47F4">
                    <w:rPr>
                      <w:rFonts w:ascii="Calibri" w:eastAsia="Calibri" w:hAnsi="Calibri" w:cs="Calibri"/>
                      <w:b/>
                      <w:bCs/>
                    </w:rPr>
                    <w:t>Client has had two or more CAB PrEP injections</w:t>
                  </w:r>
                  <w:r w:rsidRPr="00CA47F4">
                    <w:rPr>
                      <w:rFonts w:ascii="Calibri" w:eastAsia="Calibri" w:hAnsi="Calibri" w:cs="Calibri"/>
                    </w:rPr>
                    <w:t xml:space="preserve">: Because CAB PrEP initiation injection 2 and follow-up injections provide protection for two months, insert </w:t>
                  </w:r>
                  <w:r w:rsidR="00B377D4">
                    <w:rPr>
                      <w:rFonts w:ascii="Calibri" w:eastAsia="Calibri" w:hAnsi="Calibri" w:cs="Calibri"/>
                    </w:rPr>
                    <w:t xml:space="preserve">a </w:t>
                  </w:r>
                  <w:proofErr w:type="gramStart"/>
                  <w:r w:rsidRPr="00CA47F4">
                    <w:rPr>
                      <w:rFonts w:ascii="Calibri" w:eastAsia="Calibri" w:hAnsi="Calibri" w:cs="Calibri"/>
                    </w:rPr>
                    <w:t>PrEP</w:t>
                  </w:r>
                  <w:proofErr w:type="gramEnd"/>
                  <w:r w:rsidRPr="00CA47F4">
                    <w:rPr>
                      <w:rFonts w:ascii="Calibri" w:eastAsia="Calibri" w:hAnsi="Calibri" w:cs="Calibri"/>
                    </w:rPr>
                    <w:t xml:space="preserve"> ring two months after </w:t>
                  </w:r>
                  <w:r w:rsidR="00B377D4">
                    <w:rPr>
                      <w:rFonts w:ascii="Calibri" w:eastAsia="Calibri" w:hAnsi="Calibri" w:cs="Calibri"/>
                    </w:rPr>
                    <w:t xml:space="preserve">the </w:t>
                  </w:r>
                  <w:r w:rsidRPr="00CA47F4">
                    <w:rPr>
                      <w:rFonts w:ascii="Calibri" w:eastAsia="Calibri" w:hAnsi="Calibri" w:cs="Calibri"/>
                    </w:rPr>
                    <w:t xml:space="preserve">last CAB PrEP injection. If </w:t>
                  </w:r>
                  <w:r w:rsidR="003D5AD8">
                    <w:rPr>
                      <w:rFonts w:ascii="Calibri" w:eastAsia="Calibri" w:hAnsi="Calibri" w:cs="Calibri"/>
                    </w:rPr>
                    <w:t xml:space="preserve">the </w:t>
                  </w:r>
                  <w:r w:rsidRPr="00CA47F4">
                    <w:rPr>
                      <w:rFonts w:ascii="Calibri" w:eastAsia="Calibri" w:hAnsi="Calibri" w:cs="Calibri"/>
                    </w:rPr>
                    <w:t>last injection was &gt;</w:t>
                  </w:r>
                  <w:r w:rsidR="005E0863">
                    <w:rPr>
                      <w:rFonts w:ascii="Calibri" w:eastAsia="Calibri" w:hAnsi="Calibri" w:cs="Calibri"/>
                    </w:rPr>
                    <w:t xml:space="preserve"> nine</w:t>
                  </w:r>
                  <w:r w:rsidRPr="00CA47F4">
                    <w:rPr>
                      <w:rFonts w:ascii="Calibri" w:eastAsia="Calibri" w:hAnsi="Calibri" w:cs="Calibri"/>
                    </w:rPr>
                    <w:t xml:space="preserve"> weeks prior, advise client</w:t>
                  </w:r>
                  <w:r w:rsidR="003D5AD8">
                    <w:rPr>
                      <w:rFonts w:ascii="Calibri" w:eastAsia="Calibri" w:hAnsi="Calibri" w:cs="Calibri"/>
                    </w:rPr>
                    <w:t>s</w:t>
                  </w:r>
                  <w:r w:rsidRPr="00CA47F4">
                    <w:rPr>
                      <w:rFonts w:ascii="Calibri" w:eastAsia="Calibri" w:hAnsi="Calibri" w:cs="Calibri"/>
                    </w:rPr>
                    <w:t xml:space="preserve"> to use additional HIV prevention methods (e.g.</w:t>
                  </w:r>
                  <w:r w:rsidR="00626097">
                    <w:rPr>
                      <w:rFonts w:ascii="Calibri" w:eastAsia="Calibri" w:hAnsi="Calibri" w:cs="Calibri"/>
                    </w:rPr>
                    <w:t>,</w:t>
                  </w:r>
                  <w:r w:rsidRPr="00CA47F4">
                    <w:rPr>
                      <w:rFonts w:ascii="Calibri" w:eastAsia="Calibri" w:hAnsi="Calibri" w:cs="Calibri"/>
                    </w:rPr>
                    <w:t xml:space="preserve"> condoms) for 24 hours until ring becomes maximally effe</w:t>
                  </w:r>
                  <w:r w:rsidRPr="00CA47F4">
                    <w:rPr>
                      <w:rFonts w:ascii="Calibri" w:hAnsi="Calibri" w:cs="Calibri"/>
                    </w:rPr>
                    <w:t>c</w:t>
                  </w:r>
                  <w:r w:rsidRPr="00CA47F4">
                    <w:rPr>
                      <w:rFonts w:ascii="Calibri" w:eastAsia="Calibri" w:hAnsi="Calibri" w:cs="Calibri"/>
                    </w:rPr>
                    <w:t>tive.</w:t>
                  </w:r>
                </w:p>
              </w:tc>
            </w:tr>
            <w:tr w:rsidR="004D773F" w:rsidRPr="00CA47F4" w14:paraId="40CC5F73" w14:textId="77777777" w:rsidTr="0014481C">
              <w:trPr>
                <w:trHeight w:val="620"/>
              </w:trPr>
              <w:tc>
                <w:tcPr>
                  <w:tcW w:w="1075" w:type="dxa"/>
                  <w:vMerge w:val="restart"/>
                </w:tcPr>
                <w:p w14:paraId="61DC21F9" w14:textId="77777777" w:rsidR="004D773F" w:rsidRPr="00CA47F4" w:rsidRDefault="004D773F" w:rsidP="004D773F">
                  <w:pPr>
                    <w:spacing w:after="120"/>
                    <w:rPr>
                      <w:rFonts w:ascii="Calibri" w:eastAsia="Calibri" w:hAnsi="Calibri" w:cs="Calibri"/>
                      <w:bCs/>
                    </w:rPr>
                  </w:pPr>
                  <w:r w:rsidRPr="00CA47F4">
                    <w:rPr>
                      <w:rFonts w:ascii="Calibri" w:hAnsi="Calibri" w:cs="Calibri"/>
                    </w:rPr>
                    <w:t>No PrEP method</w:t>
                  </w:r>
                </w:p>
              </w:tc>
              <w:tc>
                <w:tcPr>
                  <w:tcW w:w="1149" w:type="dxa"/>
                </w:tcPr>
                <w:p w14:paraId="55104890"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Oral PrEP</w:t>
                  </w:r>
                </w:p>
              </w:tc>
              <w:tc>
                <w:tcPr>
                  <w:tcW w:w="7920" w:type="dxa"/>
                </w:tcPr>
                <w:p w14:paraId="1B437522" w14:textId="2E2C9923" w:rsidR="001827ED" w:rsidRPr="00CA47F4" w:rsidRDefault="001827ED" w:rsidP="001827ED">
                  <w:pPr>
                    <w:spacing w:after="120"/>
                    <w:rPr>
                      <w:rFonts w:ascii="Calibri" w:eastAsia="Calibri" w:hAnsi="Calibri" w:cs="Calibri"/>
                      <w:b/>
                    </w:rPr>
                  </w:pPr>
                  <w:r w:rsidRPr="00CA47F4">
                    <w:rPr>
                      <w:rFonts w:ascii="Calibri" w:eastAsia="Calibri" w:hAnsi="Calibri" w:cs="Calibri"/>
                      <w:i/>
                      <w:iCs/>
                    </w:rPr>
                    <w:t>Oral PrEP</w:t>
                  </w:r>
                  <w:r w:rsidRPr="00CA47F4">
                    <w:rPr>
                      <w:rFonts w:ascii="Calibri" w:eastAsia="Calibri" w:hAnsi="Calibri" w:cs="Calibri"/>
                    </w:rPr>
                    <w:t xml:space="preserve"> </w:t>
                  </w:r>
                  <w:r w:rsidRPr="00CA47F4">
                    <w:rPr>
                      <w:rFonts w:ascii="Calibri" w:eastAsia="Calibri" w:hAnsi="Calibri" w:cs="Calibri"/>
                      <w:i/>
                      <w:iCs/>
                    </w:rPr>
                    <w:t xml:space="preserve">takes approximately </w:t>
                  </w:r>
                  <w:r>
                    <w:rPr>
                      <w:rFonts w:ascii="Calibri" w:eastAsia="Calibri" w:hAnsi="Calibri" w:cs="Calibri"/>
                      <w:i/>
                      <w:iCs/>
                    </w:rPr>
                    <w:t>seven</w:t>
                  </w:r>
                  <w:r w:rsidRPr="00CA47F4">
                    <w:rPr>
                      <w:rFonts w:ascii="Calibri" w:eastAsia="Calibri" w:hAnsi="Calibri" w:cs="Calibri"/>
                      <w:i/>
                      <w:iCs/>
                    </w:rPr>
                    <w:t xml:space="preserve"> days to be maximally effective for people AFAB and AMAB who are taking </w:t>
                  </w:r>
                  <w:r w:rsidR="00CF785C">
                    <w:rPr>
                      <w:rFonts w:ascii="Calibri" w:eastAsia="Calibri" w:hAnsi="Calibri" w:cs="Calibri"/>
                      <w:i/>
                      <w:iCs/>
                    </w:rPr>
                    <w:t>exogenous estradiol-based hormones</w:t>
                  </w:r>
                  <w:r>
                    <w:rPr>
                      <w:rFonts w:ascii="Calibri" w:eastAsia="Calibri" w:hAnsi="Calibri" w:cs="Calibri"/>
                      <w:i/>
                      <w:iCs/>
                    </w:rPr>
                    <w:t xml:space="preserve">. Oral PrEP takes approximately 24 hours to be maximally effective for people AMAB not taking </w:t>
                  </w:r>
                  <w:r w:rsidR="00CF785C">
                    <w:rPr>
                      <w:rFonts w:ascii="Calibri" w:eastAsia="Calibri" w:hAnsi="Calibri" w:cs="Calibri"/>
                      <w:i/>
                      <w:iCs/>
                    </w:rPr>
                    <w:t>exogenous estradiol-based hormones</w:t>
                  </w:r>
                  <w:r>
                    <w:rPr>
                      <w:rFonts w:ascii="Calibri" w:eastAsia="Calibri" w:hAnsi="Calibri" w:cs="Calibri"/>
                      <w:i/>
                      <w:iCs/>
                    </w:rPr>
                    <w:t>.</w:t>
                  </w:r>
                </w:p>
                <w:p w14:paraId="1C5A2B01" w14:textId="589DDAB4" w:rsidR="004D773F" w:rsidRPr="00CA47F4" w:rsidRDefault="004D773F" w:rsidP="004D773F">
                  <w:pPr>
                    <w:spacing w:after="120"/>
                    <w:rPr>
                      <w:rFonts w:ascii="Calibri" w:eastAsia="Calibri" w:hAnsi="Calibri" w:cs="Calibri"/>
                    </w:rPr>
                  </w:pPr>
                  <w:r w:rsidRPr="00CA47F4">
                    <w:rPr>
                      <w:rFonts w:ascii="Calibri" w:eastAsia="Calibri" w:hAnsi="Calibri" w:cs="Calibri"/>
                      <w:b/>
                      <w:bCs/>
                    </w:rPr>
                    <w:t xml:space="preserve">Client AFAB or AMAB and taking </w:t>
                  </w:r>
                  <w:r w:rsidR="00CF785C">
                    <w:rPr>
                      <w:rFonts w:ascii="Calibri" w:eastAsia="Calibri" w:hAnsi="Calibri" w:cs="Calibri"/>
                      <w:b/>
                      <w:bCs/>
                    </w:rPr>
                    <w:t>exogenous estradiol-based hormones</w:t>
                  </w:r>
                  <w:r w:rsidRPr="00CA47F4">
                    <w:rPr>
                      <w:rFonts w:ascii="Calibri" w:eastAsia="Calibri" w:hAnsi="Calibri" w:cs="Calibri"/>
                    </w:rPr>
                    <w:t xml:space="preserve">: Start with one tablet of oral PrEP and continue until </w:t>
                  </w:r>
                  <w:r w:rsidR="005E0863">
                    <w:rPr>
                      <w:rFonts w:ascii="Calibri" w:eastAsia="Calibri" w:hAnsi="Calibri" w:cs="Calibri"/>
                    </w:rPr>
                    <w:t>seven</w:t>
                  </w:r>
                  <w:r w:rsidRPr="00CA47F4">
                    <w:rPr>
                      <w:rFonts w:ascii="Calibri" w:eastAsia="Calibri" w:hAnsi="Calibri" w:cs="Calibri"/>
                    </w:rPr>
                    <w:t xml:space="preserve"> days after last exposure. Advise client</w:t>
                  </w:r>
                  <w:r w:rsidR="004E3CEF">
                    <w:rPr>
                      <w:rFonts w:ascii="Calibri" w:eastAsia="Calibri" w:hAnsi="Calibri" w:cs="Calibri"/>
                    </w:rPr>
                    <w:t>s</w:t>
                  </w:r>
                  <w:r w:rsidRPr="00CA47F4">
                    <w:rPr>
                      <w:rFonts w:ascii="Calibri" w:eastAsia="Calibri" w:hAnsi="Calibri" w:cs="Calibri"/>
                    </w:rPr>
                    <w:t xml:space="preserve"> to use additional HIV prevention methods (e.g.</w:t>
                  </w:r>
                  <w:r w:rsidR="007A7593">
                    <w:rPr>
                      <w:rFonts w:ascii="Calibri" w:eastAsia="Calibri" w:hAnsi="Calibri" w:cs="Calibri"/>
                    </w:rPr>
                    <w:t>,</w:t>
                  </w:r>
                  <w:r w:rsidRPr="00CA47F4">
                    <w:rPr>
                      <w:rFonts w:ascii="Calibri" w:eastAsia="Calibri" w:hAnsi="Calibri" w:cs="Calibri"/>
                    </w:rPr>
                    <w:t xml:space="preserve"> condoms) for seven days until the oral PrEP becomes maximally effective.</w:t>
                  </w:r>
                </w:p>
                <w:p w14:paraId="4A307A30" w14:textId="17C673A6" w:rsidR="004D773F" w:rsidRPr="00A804F3" w:rsidRDefault="004D773F" w:rsidP="004D773F">
                  <w:pPr>
                    <w:spacing w:after="120"/>
                    <w:rPr>
                      <w:rFonts w:ascii="Calibri" w:eastAsia="Calibri" w:hAnsi="Calibri" w:cs="Calibri"/>
                    </w:rPr>
                  </w:pPr>
                  <w:r w:rsidRPr="00CA47F4">
                    <w:rPr>
                      <w:rFonts w:ascii="Calibri" w:eastAsia="Calibri" w:hAnsi="Calibri" w:cs="Calibri"/>
                      <w:b/>
                      <w:bCs/>
                    </w:rPr>
                    <w:t xml:space="preserve">Client AMAB and not taking </w:t>
                  </w:r>
                  <w:r w:rsidR="00CF785C">
                    <w:rPr>
                      <w:rFonts w:ascii="Calibri" w:eastAsia="Calibri" w:hAnsi="Calibri" w:cs="Calibri"/>
                      <w:b/>
                      <w:bCs/>
                    </w:rPr>
                    <w:t>exogenous estradiol-based hormones</w:t>
                  </w:r>
                  <w:r w:rsidRPr="00CA47F4">
                    <w:rPr>
                      <w:rFonts w:ascii="Calibri" w:eastAsia="Calibri" w:hAnsi="Calibri" w:cs="Calibri"/>
                    </w:rPr>
                    <w:t>: Start with two tablets of oral PrEP 2</w:t>
                  </w:r>
                  <w:r w:rsidR="007A7593">
                    <w:rPr>
                      <w:rFonts w:ascii="Calibri" w:eastAsia="Calibri" w:hAnsi="Calibri" w:cs="Calibri"/>
                    </w:rPr>
                    <w:t>–</w:t>
                  </w:r>
                  <w:r w:rsidRPr="00CA47F4">
                    <w:rPr>
                      <w:rFonts w:ascii="Calibri" w:eastAsia="Calibri" w:hAnsi="Calibri" w:cs="Calibri"/>
                    </w:rPr>
                    <w:t xml:space="preserve">24 hours prior to potential sexual exposure and continue daily </w:t>
                  </w:r>
                  <w:r w:rsidRPr="00CA47F4">
                    <w:rPr>
                      <w:rFonts w:ascii="Calibri" w:eastAsia="Calibri" w:hAnsi="Calibri" w:cs="Calibri"/>
                    </w:rPr>
                    <w:lastRenderedPageBreak/>
                    <w:t>thereafter. Continue with one tablet of ora</w:t>
                  </w:r>
                  <w:r w:rsidRPr="00CA47F4">
                    <w:rPr>
                      <w:rFonts w:ascii="Calibri" w:hAnsi="Calibri" w:cs="Calibri"/>
                    </w:rPr>
                    <w:t>l</w:t>
                  </w:r>
                  <w:r w:rsidRPr="00CA47F4">
                    <w:rPr>
                      <w:rFonts w:ascii="Calibri" w:eastAsia="Calibri" w:hAnsi="Calibri" w:cs="Calibri"/>
                    </w:rPr>
                    <w:t xml:space="preserve"> PrEP daily until two days after last exposure. NB: Client can use </w:t>
                  </w:r>
                  <w:r w:rsidR="00346FFB">
                    <w:rPr>
                      <w:rFonts w:ascii="Calibri" w:eastAsia="Calibri" w:hAnsi="Calibri" w:cs="Calibri"/>
                    </w:rPr>
                    <w:t xml:space="preserve">the </w:t>
                  </w:r>
                  <w:r w:rsidRPr="00CA47F4">
                    <w:rPr>
                      <w:rFonts w:ascii="Calibri" w:eastAsia="Calibri" w:hAnsi="Calibri" w:cs="Calibri"/>
                    </w:rPr>
                    <w:t xml:space="preserve">daily </w:t>
                  </w:r>
                  <w:proofErr w:type="gramStart"/>
                  <w:r w:rsidRPr="00CA47F4">
                    <w:rPr>
                      <w:rFonts w:ascii="Calibri" w:eastAsia="Calibri" w:hAnsi="Calibri" w:cs="Calibri"/>
                    </w:rPr>
                    <w:t>regimen</w:t>
                  </w:r>
                  <w:proofErr w:type="gramEnd"/>
                  <w:r w:rsidRPr="00CA47F4">
                    <w:rPr>
                      <w:rFonts w:ascii="Calibri" w:eastAsia="Calibri" w:hAnsi="Calibri" w:cs="Calibri"/>
                    </w:rPr>
                    <w:t xml:space="preserve"> or single or infrequent event regimen as needed.</w:t>
                  </w:r>
                </w:p>
              </w:tc>
            </w:tr>
            <w:tr w:rsidR="004D773F" w:rsidRPr="00CA47F4" w14:paraId="6C72DBCD" w14:textId="77777777" w:rsidTr="0014481C">
              <w:trPr>
                <w:trHeight w:val="1115"/>
              </w:trPr>
              <w:tc>
                <w:tcPr>
                  <w:tcW w:w="1075" w:type="dxa"/>
                  <w:vMerge/>
                </w:tcPr>
                <w:p w14:paraId="7B769AB6" w14:textId="77777777" w:rsidR="004D773F" w:rsidRPr="00CA47F4" w:rsidRDefault="004D773F" w:rsidP="004D773F">
                  <w:pPr>
                    <w:spacing w:after="120"/>
                    <w:rPr>
                      <w:rFonts w:ascii="Calibri" w:hAnsi="Calibri" w:cs="Calibri"/>
                    </w:rPr>
                  </w:pPr>
                </w:p>
              </w:tc>
              <w:tc>
                <w:tcPr>
                  <w:tcW w:w="1149" w:type="dxa"/>
                </w:tcPr>
                <w:p w14:paraId="101A3374"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PrEP ring</w:t>
                  </w:r>
                </w:p>
              </w:tc>
              <w:tc>
                <w:tcPr>
                  <w:tcW w:w="7920" w:type="dxa"/>
                </w:tcPr>
                <w:p w14:paraId="58349C04" w14:textId="43AFBBE5" w:rsidR="004D773F" w:rsidRPr="00CA47F4" w:rsidRDefault="004D773F" w:rsidP="004D773F">
                  <w:pPr>
                    <w:spacing w:after="120"/>
                    <w:rPr>
                      <w:rFonts w:ascii="Calibri" w:eastAsia="Calibri" w:hAnsi="Calibri" w:cs="Calibri"/>
                      <w:i/>
                      <w:iCs/>
                    </w:rPr>
                  </w:pPr>
                  <w:r w:rsidRPr="00CA47F4">
                    <w:rPr>
                      <w:rFonts w:ascii="Calibri" w:eastAsia="Calibri" w:hAnsi="Calibri" w:cs="Calibri"/>
                      <w:i/>
                      <w:iCs/>
                    </w:rPr>
                    <w:t>PrEP ring takes approximately 24 hours to become maximally effective</w:t>
                  </w:r>
                  <w:r w:rsidR="00346FFB">
                    <w:rPr>
                      <w:rFonts w:ascii="Calibri" w:eastAsia="Calibri" w:hAnsi="Calibri" w:cs="Calibri"/>
                      <w:i/>
                      <w:iCs/>
                    </w:rPr>
                    <w:t>.</w:t>
                  </w:r>
                </w:p>
                <w:p w14:paraId="75522C1A" w14:textId="3CA7FD0D" w:rsidR="004D773F" w:rsidRPr="00CA47F4" w:rsidRDefault="004D773F" w:rsidP="004D773F">
                  <w:pPr>
                    <w:spacing w:after="120"/>
                    <w:rPr>
                      <w:rFonts w:ascii="Calibri" w:eastAsia="Calibri" w:hAnsi="Calibri" w:cs="Calibri"/>
                      <w:b/>
                      <w:bCs/>
                    </w:rPr>
                  </w:pPr>
                  <w:r w:rsidRPr="00CA47F4">
                    <w:rPr>
                      <w:rFonts w:ascii="Calibri" w:eastAsia="Calibri" w:hAnsi="Calibri" w:cs="Calibri"/>
                    </w:rPr>
                    <w:t xml:space="preserve">Insert </w:t>
                  </w:r>
                  <w:r w:rsidR="00346FFB">
                    <w:rPr>
                      <w:rFonts w:ascii="Calibri" w:eastAsia="Calibri" w:hAnsi="Calibri" w:cs="Calibri"/>
                    </w:rPr>
                    <w:t xml:space="preserve">a </w:t>
                  </w:r>
                  <w:proofErr w:type="gramStart"/>
                  <w:r w:rsidRPr="00CA47F4">
                    <w:rPr>
                      <w:rFonts w:ascii="Calibri" w:eastAsia="Calibri" w:hAnsi="Calibri" w:cs="Calibri"/>
                    </w:rPr>
                    <w:t>PrEP</w:t>
                  </w:r>
                  <w:proofErr w:type="gramEnd"/>
                  <w:r w:rsidRPr="00CA47F4">
                    <w:rPr>
                      <w:rFonts w:ascii="Calibri" w:eastAsia="Calibri" w:hAnsi="Calibri" w:cs="Calibri"/>
                    </w:rPr>
                    <w:t xml:space="preserve"> ring and advise client to use additional HIV prevention methods (e.g.</w:t>
                  </w:r>
                  <w:r w:rsidR="00346FFB">
                    <w:rPr>
                      <w:rFonts w:ascii="Calibri" w:eastAsia="Calibri" w:hAnsi="Calibri" w:cs="Calibri"/>
                    </w:rPr>
                    <w:t>,</w:t>
                  </w:r>
                  <w:r w:rsidRPr="00CA47F4">
                    <w:rPr>
                      <w:rFonts w:ascii="Calibri" w:eastAsia="Calibri" w:hAnsi="Calibri" w:cs="Calibri"/>
                    </w:rPr>
                    <w:t xml:space="preserve"> condoms) for 24 hours until the PrEP ring becomes maximally effective.</w:t>
                  </w:r>
                </w:p>
              </w:tc>
            </w:tr>
            <w:tr w:rsidR="004D773F" w:rsidRPr="00CA47F4" w14:paraId="2105888E" w14:textId="77777777" w:rsidTr="0014481C">
              <w:trPr>
                <w:trHeight w:val="54"/>
              </w:trPr>
              <w:tc>
                <w:tcPr>
                  <w:tcW w:w="1075" w:type="dxa"/>
                  <w:vMerge/>
                </w:tcPr>
                <w:p w14:paraId="0D673924" w14:textId="77777777" w:rsidR="004D773F" w:rsidRPr="00CA47F4" w:rsidRDefault="004D773F" w:rsidP="004D773F">
                  <w:pPr>
                    <w:spacing w:after="120"/>
                    <w:rPr>
                      <w:rFonts w:ascii="Calibri" w:hAnsi="Calibri" w:cs="Calibri"/>
                    </w:rPr>
                  </w:pPr>
                </w:p>
              </w:tc>
              <w:tc>
                <w:tcPr>
                  <w:tcW w:w="1149" w:type="dxa"/>
                </w:tcPr>
                <w:p w14:paraId="4C07E2AF" w14:textId="77777777" w:rsidR="004D773F" w:rsidRPr="00CA47F4" w:rsidRDefault="004D773F" w:rsidP="004D773F">
                  <w:pPr>
                    <w:spacing w:after="120"/>
                    <w:rPr>
                      <w:rFonts w:ascii="Calibri" w:eastAsia="Calibri" w:hAnsi="Calibri" w:cs="Calibri"/>
                      <w:bCs/>
                    </w:rPr>
                  </w:pPr>
                  <w:r w:rsidRPr="00CA47F4">
                    <w:rPr>
                      <w:rFonts w:ascii="Calibri" w:eastAsia="Calibri" w:hAnsi="Calibri" w:cs="Calibri"/>
                      <w:bCs/>
                    </w:rPr>
                    <w:t>CAB PrEP</w:t>
                  </w:r>
                </w:p>
              </w:tc>
              <w:tc>
                <w:tcPr>
                  <w:tcW w:w="7920" w:type="dxa"/>
                </w:tcPr>
                <w:p w14:paraId="65902DC9" w14:textId="740B191A" w:rsidR="004D773F" w:rsidRPr="00CA47F4" w:rsidRDefault="004D773F" w:rsidP="004D773F">
                  <w:pPr>
                    <w:spacing w:after="120"/>
                    <w:rPr>
                      <w:rFonts w:ascii="Calibri" w:eastAsia="Calibri" w:hAnsi="Calibri" w:cs="Calibri"/>
                      <w:i/>
                      <w:iCs/>
                    </w:rPr>
                  </w:pPr>
                  <w:r w:rsidRPr="00CA47F4">
                    <w:rPr>
                      <w:rFonts w:ascii="Calibri" w:hAnsi="Calibri" w:cs="Calibri"/>
                      <w:i/>
                      <w:iCs/>
                    </w:rPr>
                    <w:t>CAB PrEP takes approximately seven days to become maximally effective</w:t>
                  </w:r>
                  <w:r w:rsidR="00346FFB">
                    <w:rPr>
                      <w:rFonts w:ascii="Calibri" w:hAnsi="Calibri" w:cs="Calibri"/>
                      <w:i/>
                      <w:iCs/>
                    </w:rPr>
                    <w:t>.</w:t>
                  </w:r>
                </w:p>
                <w:p w14:paraId="67396C88" w14:textId="3BA5E1EE" w:rsidR="004D773F" w:rsidRPr="00FC50AA" w:rsidRDefault="004D773F" w:rsidP="004D773F">
                  <w:pPr>
                    <w:spacing w:after="120"/>
                    <w:rPr>
                      <w:rFonts w:ascii="Calibri" w:eastAsia="Calibri" w:hAnsi="Calibri" w:cs="Calibri"/>
                    </w:rPr>
                  </w:pPr>
                  <w:r w:rsidRPr="00CA47F4">
                    <w:rPr>
                      <w:rFonts w:ascii="Calibri" w:eastAsia="Calibri" w:hAnsi="Calibri" w:cs="Calibri"/>
                    </w:rPr>
                    <w:t>Administer CAB PrEP initiation injection 1. Advise client</w:t>
                  </w:r>
                  <w:r w:rsidR="003E33EA">
                    <w:rPr>
                      <w:rFonts w:ascii="Calibri" w:eastAsia="Calibri" w:hAnsi="Calibri" w:cs="Calibri"/>
                    </w:rPr>
                    <w:t>s</w:t>
                  </w:r>
                  <w:r w:rsidRPr="00CA47F4">
                    <w:rPr>
                      <w:rFonts w:ascii="Calibri" w:eastAsia="Calibri" w:hAnsi="Calibri" w:cs="Calibri"/>
                    </w:rPr>
                    <w:t xml:space="preserve"> to use additional HIV prevention methods (e.g.</w:t>
                  </w:r>
                  <w:r w:rsidR="003E33EA">
                    <w:rPr>
                      <w:rFonts w:ascii="Calibri" w:eastAsia="Calibri" w:hAnsi="Calibri" w:cs="Calibri"/>
                    </w:rPr>
                    <w:t>,</w:t>
                  </w:r>
                  <w:r w:rsidRPr="00CA47F4">
                    <w:rPr>
                      <w:rFonts w:ascii="Calibri" w:eastAsia="Calibri" w:hAnsi="Calibri" w:cs="Calibri"/>
                    </w:rPr>
                    <w:t xml:space="preserve"> condoms) for seven days thereafter until CAB PrEP becomes maximally effective.</w:t>
                  </w:r>
                </w:p>
              </w:tc>
            </w:tr>
          </w:tbl>
          <w:p w14:paraId="094C0513" w14:textId="2DF311D7" w:rsidR="004D773F" w:rsidRPr="003153A1" w:rsidRDefault="004D773F" w:rsidP="009C7CF5">
            <w:pPr>
              <w:spacing w:after="120"/>
            </w:pPr>
          </w:p>
        </w:tc>
      </w:tr>
    </w:tbl>
    <w:p w14:paraId="08C15D35" w14:textId="77777777" w:rsidR="003F738F" w:rsidRDefault="003F738F" w:rsidP="003F738F">
      <w:pPr>
        <w:spacing w:after="120" w:line="240" w:lineRule="auto"/>
        <w:rPr>
          <w:rFonts w:cstheme="minorHAnsi"/>
        </w:rPr>
      </w:pPr>
    </w:p>
    <w:p w14:paraId="28F4B6C2" w14:textId="0D57EAF5" w:rsidR="00925536" w:rsidRPr="00606B35" w:rsidRDefault="00925536" w:rsidP="00DD508F">
      <w:pPr>
        <w:pStyle w:val="Heading1"/>
        <w:spacing w:before="0" w:after="120" w:line="240" w:lineRule="auto"/>
        <w:rPr>
          <w:rFonts w:asciiTheme="minorHAnsi" w:hAnsiTheme="minorHAnsi" w:cstheme="minorBidi"/>
        </w:rPr>
      </w:pPr>
      <w:bookmarkStart w:id="40" w:name="_Toc182989120"/>
      <w:r w:rsidRPr="5163B5CD">
        <w:rPr>
          <w:rFonts w:asciiTheme="minorHAnsi" w:hAnsiTheme="minorHAnsi" w:cstheme="minorBidi"/>
        </w:rPr>
        <w:t>PrEP Initiation Visit</w:t>
      </w:r>
      <w:bookmarkEnd w:id="40"/>
      <w:r w:rsidRPr="5163B5CD">
        <w:rPr>
          <w:rFonts w:asciiTheme="minorHAnsi" w:hAnsiTheme="minorHAnsi" w:cstheme="minorBidi"/>
        </w:rPr>
        <w:t xml:space="preserve"> </w:t>
      </w:r>
    </w:p>
    <w:p w14:paraId="0F6F48BA" w14:textId="13A3A1EF" w:rsidR="004A3732" w:rsidRPr="00606B35" w:rsidRDefault="00925536" w:rsidP="00DD508F">
      <w:pPr>
        <w:pBdr>
          <w:top w:val="nil"/>
          <w:left w:val="nil"/>
          <w:bottom w:val="nil"/>
          <w:right w:val="nil"/>
          <w:between w:val="nil"/>
        </w:pBdr>
        <w:spacing w:after="120" w:line="240" w:lineRule="auto"/>
        <w:rPr>
          <w:i/>
          <w:color w:val="000000"/>
          <w:u w:val="single"/>
        </w:rPr>
      </w:pPr>
      <w:r w:rsidRPr="0294A27B">
        <w:rPr>
          <w:color w:val="000000" w:themeColor="text1"/>
        </w:rPr>
        <w:t>For most clients, PrEP can be initiated the same day. However, in some scenarios</w:t>
      </w:r>
      <w:r w:rsidR="008D05E1" w:rsidRPr="0294A27B">
        <w:rPr>
          <w:color w:val="000000" w:themeColor="text1"/>
        </w:rPr>
        <w:t>,</w:t>
      </w:r>
      <w:r w:rsidRPr="0294A27B">
        <w:rPr>
          <w:color w:val="000000" w:themeColor="text1"/>
        </w:rPr>
        <w:t xml:space="preserve"> as outlined below, </w:t>
      </w:r>
      <w:r w:rsidR="00052B3D" w:rsidRPr="0294A27B">
        <w:rPr>
          <w:color w:val="000000" w:themeColor="text1"/>
        </w:rPr>
        <w:t>deferred PrEP initiation</w:t>
      </w:r>
      <w:r w:rsidRPr="0294A27B">
        <w:rPr>
          <w:color w:val="000000" w:themeColor="text1"/>
        </w:rPr>
        <w:t xml:space="preserve"> is recommended. </w:t>
      </w:r>
      <w:r w:rsidR="004A3732" w:rsidRPr="0294A27B">
        <w:rPr>
          <w:color w:val="000000" w:themeColor="text1"/>
        </w:rPr>
        <w:t>Clients must meet criteria to begin PrEP use. They must be:</w:t>
      </w:r>
    </w:p>
    <w:p w14:paraId="3B45B92C" w14:textId="25694980" w:rsidR="004A3732" w:rsidRPr="00606B35"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606B35">
        <w:rPr>
          <w:rFonts w:cstheme="minorHAnsi"/>
          <w:i/>
          <w:color w:val="000000"/>
        </w:rPr>
        <w:t>HIV negative</w:t>
      </w:r>
    </w:p>
    <w:p w14:paraId="5AE1B465" w14:textId="3C36B2F3" w:rsidR="00887F33"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606B35">
        <w:rPr>
          <w:rFonts w:cstheme="minorHAnsi"/>
          <w:i/>
          <w:color w:val="000000"/>
        </w:rPr>
        <w:t xml:space="preserve">Not indicated for PEP </w:t>
      </w:r>
    </w:p>
    <w:p w14:paraId="7CDDB043" w14:textId="1283DD71" w:rsidR="004A3732" w:rsidRPr="00A858F7" w:rsidRDefault="00220DA5"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A858F7">
        <w:rPr>
          <w:rFonts w:cstheme="minorHAnsi"/>
          <w:i/>
          <w:color w:val="000000"/>
        </w:rPr>
        <w:t>Assessed for AHI</w:t>
      </w:r>
      <w:r w:rsidR="00F92B8A" w:rsidRPr="00A858F7">
        <w:rPr>
          <w:rStyle w:val="FootnoteReference"/>
          <w:rFonts w:cstheme="minorHAnsi"/>
          <w:i/>
          <w:color w:val="000000"/>
        </w:rPr>
        <w:footnoteReference w:id="32"/>
      </w:r>
    </w:p>
    <w:p w14:paraId="5FBFEE07" w14:textId="230C5981" w:rsidR="004A3732" w:rsidRPr="008D6C1D"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1605D0">
        <w:rPr>
          <w:rFonts w:cstheme="minorHAnsi"/>
          <w:i/>
          <w:color w:val="000000"/>
        </w:rPr>
        <w:t>Requesting PrEP or indicated for PrEP</w:t>
      </w:r>
      <w:r w:rsidR="0026705B" w:rsidRPr="001605D0">
        <w:rPr>
          <w:rFonts w:cstheme="minorHAnsi"/>
          <w:i/>
          <w:color w:val="000000"/>
        </w:rPr>
        <w:t xml:space="preserve"> use</w:t>
      </w:r>
    </w:p>
    <w:p w14:paraId="5189B4CA" w14:textId="247851D5" w:rsidR="005C0D69" w:rsidRPr="008D6C1D"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1605D0">
        <w:rPr>
          <w:rFonts w:cstheme="minorHAnsi"/>
          <w:i/>
          <w:color w:val="000000"/>
        </w:rPr>
        <w:t>Free from contraindications for</w:t>
      </w:r>
      <w:r w:rsidR="008C50A5" w:rsidRPr="001605D0">
        <w:rPr>
          <w:rFonts w:cstheme="minorHAnsi"/>
          <w:i/>
          <w:color w:val="000000"/>
        </w:rPr>
        <w:t xml:space="preserve"> use of</w:t>
      </w:r>
      <w:r w:rsidRPr="001605D0">
        <w:rPr>
          <w:rFonts w:cstheme="minorHAnsi"/>
          <w:i/>
          <w:color w:val="000000"/>
        </w:rPr>
        <w:t xml:space="preserve"> their chosen PrEP </w:t>
      </w:r>
      <w:r w:rsidR="00464885" w:rsidRPr="001605D0">
        <w:rPr>
          <w:rFonts w:cstheme="minorHAnsi"/>
          <w:i/>
          <w:color w:val="000000"/>
        </w:rPr>
        <w:t>method</w:t>
      </w:r>
    </w:p>
    <w:p w14:paraId="753DF06C" w14:textId="4F18376E" w:rsidR="00582703" w:rsidRPr="008D6C1D" w:rsidRDefault="00582703"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Pr>
          <w:rFonts w:cstheme="minorHAnsi"/>
          <w:i/>
          <w:color w:val="000000"/>
        </w:rPr>
        <w:t xml:space="preserve">Willing and able to use PrEP as directed </w:t>
      </w:r>
    </w:p>
    <w:p w14:paraId="4F140226" w14:textId="225FBD7D" w:rsidR="00925536" w:rsidRPr="00606B35" w:rsidRDefault="00925536" w:rsidP="00DD508F">
      <w:pPr>
        <w:pBdr>
          <w:top w:val="nil"/>
          <w:left w:val="nil"/>
          <w:bottom w:val="nil"/>
          <w:right w:val="nil"/>
          <w:between w:val="nil"/>
        </w:pBdr>
        <w:spacing w:after="120" w:line="240" w:lineRule="auto"/>
        <w:rPr>
          <w:color w:val="000000"/>
        </w:rPr>
      </w:pPr>
      <w:r w:rsidRPr="0294A27B">
        <w:rPr>
          <w:color w:val="000000" w:themeColor="text1"/>
        </w:rPr>
        <w:t xml:space="preserve">The four </w:t>
      </w:r>
      <w:r w:rsidR="009E465B" w:rsidRPr="0294A27B">
        <w:rPr>
          <w:color w:val="000000" w:themeColor="text1"/>
        </w:rPr>
        <w:t>essential</w:t>
      </w:r>
      <w:r w:rsidRPr="0294A27B">
        <w:rPr>
          <w:color w:val="000000" w:themeColor="text1"/>
        </w:rPr>
        <w:t xml:space="preserve"> components of PrEP initiation visits</w:t>
      </w:r>
      <w:r w:rsidR="008C3796">
        <w:rPr>
          <w:color w:val="000000" w:themeColor="text1"/>
        </w:rPr>
        <w:t xml:space="preserve"> are</w:t>
      </w:r>
      <w:r w:rsidR="0086406F">
        <w:rPr>
          <w:color w:val="000000" w:themeColor="text1"/>
        </w:rPr>
        <w:t>:</w:t>
      </w:r>
      <w:r w:rsidR="008C3796">
        <w:rPr>
          <w:color w:val="000000" w:themeColor="text1"/>
        </w:rPr>
        <w:t xml:space="preserve"> </w:t>
      </w:r>
      <w:r w:rsidR="0086406F">
        <w:rPr>
          <w:color w:val="000000" w:themeColor="text1"/>
        </w:rPr>
        <w:t xml:space="preserve">1) </w:t>
      </w:r>
      <w:r w:rsidR="008C3796">
        <w:rPr>
          <w:color w:val="000000" w:themeColor="text1"/>
        </w:rPr>
        <w:t xml:space="preserve">HIV testing and counseling, </w:t>
      </w:r>
      <w:r w:rsidR="0086406F">
        <w:rPr>
          <w:color w:val="000000" w:themeColor="text1"/>
        </w:rPr>
        <w:t xml:space="preserve">2) </w:t>
      </w:r>
      <w:r w:rsidR="008C3796">
        <w:rPr>
          <w:color w:val="000000" w:themeColor="text1"/>
        </w:rPr>
        <w:t>assessment</w:t>
      </w:r>
      <w:r w:rsidR="00274196">
        <w:rPr>
          <w:color w:val="000000" w:themeColor="text1"/>
        </w:rPr>
        <w:t>s</w:t>
      </w:r>
      <w:r w:rsidR="008C3796">
        <w:rPr>
          <w:color w:val="000000" w:themeColor="text1"/>
        </w:rPr>
        <w:t xml:space="preserve">, </w:t>
      </w:r>
      <w:r w:rsidR="0086406F">
        <w:rPr>
          <w:color w:val="000000" w:themeColor="text1"/>
        </w:rPr>
        <w:t xml:space="preserve">3) </w:t>
      </w:r>
      <w:r w:rsidR="006A2404">
        <w:rPr>
          <w:color w:val="000000" w:themeColor="text1"/>
        </w:rPr>
        <w:t xml:space="preserve">PrEP </w:t>
      </w:r>
      <w:r w:rsidR="008C3796">
        <w:rPr>
          <w:color w:val="000000" w:themeColor="text1"/>
        </w:rPr>
        <w:t xml:space="preserve">counseling, and </w:t>
      </w:r>
      <w:r w:rsidR="0086406F">
        <w:rPr>
          <w:color w:val="000000" w:themeColor="text1"/>
        </w:rPr>
        <w:t xml:space="preserve">4) </w:t>
      </w:r>
      <w:r w:rsidR="008C3796">
        <w:rPr>
          <w:color w:val="000000" w:themeColor="text1"/>
        </w:rPr>
        <w:t xml:space="preserve">PrEP prescription. </w:t>
      </w:r>
      <w:r w:rsidR="008F6427" w:rsidRPr="0294A27B">
        <w:rPr>
          <w:color w:val="000000" w:themeColor="text1"/>
        </w:rPr>
        <w:t xml:space="preserve">For clients choosing </w:t>
      </w:r>
      <w:r w:rsidR="006D7BCE">
        <w:rPr>
          <w:color w:val="000000" w:themeColor="text1"/>
        </w:rPr>
        <w:t xml:space="preserve">the </w:t>
      </w:r>
      <w:r w:rsidR="008F6427" w:rsidRPr="0294A27B">
        <w:rPr>
          <w:color w:val="000000" w:themeColor="text1"/>
        </w:rPr>
        <w:t xml:space="preserve">PrEP ring or oral PrEP, there will be one </w:t>
      </w:r>
      <w:r w:rsidR="0053112B" w:rsidRPr="0294A27B">
        <w:rPr>
          <w:color w:val="000000" w:themeColor="text1"/>
        </w:rPr>
        <w:t>initiation</w:t>
      </w:r>
      <w:r w:rsidR="008F6427" w:rsidRPr="0294A27B">
        <w:rPr>
          <w:color w:val="000000" w:themeColor="text1"/>
        </w:rPr>
        <w:t xml:space="preserve"> visit. For clients choosing CAB PrEP, there will be two initiation visits scheduled </w:t>
      </w:r>
      <w:r w:rsidR="00E660E5">
        <w:rPr>
          <w:color w:val="000000" w:themeColor="text1"/>
        </w:rPr>
        <w:t>one month</w:t>
      </w:r>
      <w:r w:rsidR="008F6427" w:rsidRPr="0294A27B">
        <w:rPr>
          <w:color w:val="000000" w:themeColor="text1"/>
        </w:rPr>
        <w:t xml:space="preserve"> apart </w:t>
      </w:r>
      <w:r w:rsidR="0053112B" w:rsidRPr="0294A27B">
        <w:rPr>
          <w:color w:val="000000" w:themeColor="text1"/>
        </w:rPr>
        <w:t xml:space="preserve">for initiation injection 1 and initiation injection 2, respectively. </w:t>
      </w:r>
    </w:p>
    <w:p w14:paraId="3CE7143F" w14:textId="79024491" w:rsidR="00925536" w:rsidRPr="00606B35" w:rsidRDefault="00925536" w:rsidP="00DD508F">
      <w:pPr>
        <w:pStyle w:val="Heading2"/>
        <w:spacing w:before="0" w:after="120" w:line="240" w:lineRule="auto"/>
        <w:rPr>
          <w:rFonts w:asciiTheme="minorHAnsi" w:hAnsiTheme="minorHAnsi" w:cstheme="minorHAnsi"/>
          <w:bCs/>
        </w:rPr>
      </w:pPr>
      <w:bookmarkStart w:id="41" w:name="_Toc182989121"/>
      <w:r w:rsidRPr="00606B35">
        <w:rPr>
          <w:rFonts w:asciiTheme="minorHAnsi" w:hAnsiTheme="minorHAnsi" w:cstheme="minorHAnsi"/>
          <w:bCs/>
        </w:rPr>
        <w:t xml:space="preserve">Component 1: HIV </w:t>
      </w:r>
      <w:r w:rsidR="00E9095D" w:rsidRPr="00606B35">
        <w:rPr>
          <w:rFonts w:asciiTheme="minorHAnsi" w:hAnsiTheme="minorHAnsi" w:cstheme="minorHAnsi"/>
          <w:bCs/>
        </w:rPr>
        <w:t>T</w:t>
      </w:r>
      <w:r w:rsidRPr="00606B35">
        <w:rPr>
          <w:rFonts w:asciiTheme="minorHAnsi" w:hAnsiTheme="minorHAnsi" w:cstheme="minorHAnsi"/>
          <w:bCs/>
        </w:rPr>
        <w:t xml:space="preserve">esting and </w:t>
      </w:r>
      <w:r w:rsidR="00E9095D" w:rsidRPr="00606B35">
        <w:rPr>
          <w:rFonts w:asciiTheme="minorHAnsi" w:hAnsiTheme="minorHAnsi" w:cstheme="minorHAnsi"/>
          <w:bCs/>
        </w:rPr>
        <w:t>C</w:t>
      </w:r>
      <w:r w:rsidRPr="00606B35">
        <w:rPr>
          <w:rFonts w:asciiTheme="minorHAnsi" w:hAnsiTheme="minorHAnsi" w:cstheme="minorHAnsi"/>
          <w:bCs/>
        </w:rPr>
        <w:t>ounseling</w:t>
      </w:r>
      <w:bookmarkEnd w:id="41"/>
      <w:r w:rsidRPr="00606B35">
        <w:rPr>
          <w:rFonts w:asciiTheme="minorHAnsi" w:hAnsiTheme="minorHAnsi" w:cstheme="minorHAnsi"/>
          <w:bCs/>
        </w:rPr>
        <w:t xml:space="preserve"> </w:t>
      </w:r>
    </w:p>
    <w:p w14:paraId="4C5F37EB" w14:textId="5AF2F622" w:rsidR="00C16A47" w:rsidRPr="00606B35" w:rsidRDefault="21064260" w:rsidP="00DD508F">
      <w:pPr>
        <w:pBdr>
          <w:top w:val="nil"/>
          <w:left w:val="nil"/>
          <w:bottom w:val="nil"/>
          <w:right w:val="nil"/>
          <w:between w:val="nil"/>
        </w:pBdr>
        <w:spacing w:after="120" w:line="240" w:lineRule="auto"/>
        <w:rPr>
          <w:color w:val="000000" w:themeColor="text1"/>
        </w:rPr>
      </w:pPr>
      <w:r w:rsidRPr="56D00486">
        <w:rPr>
          <w:color w:val="000000" w:themeColor="text1"/>
        </w:rPr>
        <w:t>HIV testing and counseling should be conducted per national guidelines</w:t>
      </w:r>
      <w:r w:rsidR="653DF082" w:rsidRPr="56D00486">
        <w:rPr>
          <w:color w:val="000000" w:themeColor="text1"/>
        </w:rPr>
        <w:t xml:space="preserve">. </w:t>
      </w:r>
      <w:r w:rsidR="497DCB1F" w:rsidRPr="56D00486">
        <w:rPr>
          <w:color w:val="000000" w:themeColor="text1"/>
        </w:rPr>
        <w:t xml:space="preserve">Same-day HIV testing is </w:t>
      </w:r>
      <w:r w:rsidR="382ABEC0" w:rsidRPr="56D00486">
        <w:rPr>
          <w:color w:val="000000" w:themeColor="text1"/>
        </w:rPr>
        <w:t xml:space="preserve">strongly </w:t>
      </w:r>
      <w:r w:rsidR="497DCB1F" w:rsidRPr="56D00486">
        <w:rPr>
          <w:color w:val="000000" w:themeColor="text1"/>
        </w:rPr>
        <w:t xml:space="preserve">suggested. </w:t>
      </w:r>
      <w:r w:rsidR="00627FF5">
        <w:rPr>
          <w:color w:val="000000" w:themeColor="text1"/>
        </w:rPr>
        <w:t xml:space="preserve">If the test result is negative, </w:t>
      </w:r>
      <w:r w:rsidR="00962FA8">
        <w:rPr>
          <w:color w:val="000000" w:themeColor="text1"/>
        </w:rPr>
        <w:t xml:space="preserve">a </w:t>
      </w:r>
      <w:r w:rsidR="00627FF5">
        <w:rPr>
          <w:color w:val="000000" w:themeColor="text1"/>
        </w:rPr>
        <w:t>client can continue th</w:t>
      </w:r>
      <w:r w:rsidR="004A59F4">
        <w:rPr>
          <w:color w:val="000000" w:themeColor="text1"/>
        </w:rPr>
        <w:t>rough the initiation visit</w:t>
      </w:r>
      <w:r w:rsidR="00057360">
        <w:rPr>
          <w:color w:val="000000" w:themeColor="text1"/>
        </w:rPr>
        <w:t xml:space="preserve"> and may be able to start PrEP</w:t>
      </w:r>
      <w:r w:rsidR="00BA08B1">
        <w:rPr>
          <w:color w:val="000000" w:themeColor="text1"/>
        </w:rPr>
        <w:t xml:space="preserve">. </w:t>
      </w:r>
      <w:r w:rsidR="497DCB1F" w:rsidRPr="56D00486">
        <w:rPr>
          <w:color w:val="000000" w:themeColor="text1"/>
        </w:rPr>
        <w:t xml:space="preserve">If </w:t>
      </w:r>
      <w:r w:rsidR="653DF082" w:rsidRPr="56D00486">
        <w:rPr>
          <w:color w:val="000000" w:themeColor="text1"/>
        </w:rPr>
        <w:t>the</w:t>
      </w:r>
      <w:r w:rsidR="4BA2BC4C" w:rsidRPr="56D00486">
        <w:rPr>
          <w:color w:val="000000" w:themeColor="text1"/>
        </w:rPr>
        <w:t>ir</w:t>
      </w:r>
      <w:r w:rsidR="653DF082" w:rsidRPr="56D00486">
        <w:rPr>
          <w:color w:val="000000" w:themeColor="text1"/>
        </w:rPr>
        <w:t xml:space="preserve"> </w:t>
      </w:r>
      <w:r w:rsidR="497DCB1F" w:rsidRPr="56D00486">
        <w:rPr>
          <w:color w:val="000000" w:themeColor="text1"/>
        </w:rPr>
        <w:t xml:space="preserve">result is positive, </w:t>
      </w:r>
      <w:r w:rsidR="4BA2BC4C" w:rsidRPr="56D00486">
        <w:rPr>
          <w:color w:val="000000" w:themeColor="text1"/>
        </w:rPr>
        <w:t xml:space="preserve">the </w:t>
      </w:r>
      <w:r w:rsidR="497DCB1F" w:rsidRPr="56D00486">
        <w:rPr>
          <w:color w:val="000000" w:themeColor="text1"/>
        </w:rPr>
        <w:t>client must not be initiated on PrEP but should</w:t>
      </w:r>
      <w:r w:rsidR="44D5D361" w:rsidRPr="56D00486">
        <w:rPr>
          <w:color w:val="000000" w:themeColor="text1"/>
        </w:rPr>
        <w:t xml:space="preserve"> receive further testing per </w:t>
      </w:r>
      <w:r w:rsidR="00B54179">
        <w:rPr>
          <w:color w:val="000000" w:themeColor="text1"/>
        </w:rPr>
        <w:t xml:space="preserve">the </w:t>
      </w:r>
      <w:r w:rsidR="44D5D361" w:rsidRPr="56D00486">
        <w:rPr>
          <w:color w:val="000000" w:themeColor="text1"/>
        </w:rPr>
        <w:t>national a</w:t>
      </w:r>
      <w:r w:rsidR="0D463DB8" w:rsidRPr="56D00486">
        <w:rPr>
          <w:color w:val="000000" w:themeColor="text1"/>
        </w:rPr>
        <w:t>l</w:t>
      </w:r>
      <w:r w:rsidR="44D5D361" w:rsidRPr="56D00486">
        <w:rPr>
          <w:color w:val="000000" w:themeColor="text1"/>
        </w:rPr>
        <w:t>gorithm and</w:t>
      </w:r>
      <w:r w:rsidR="00867FBE">
        <w:rPr>
          <w:color w:val="000000" w:themeColor="text1"/>
        </w:rPr>
        <w:t xml:space="preserve">, if </w:t>
      </w:r>
      <w:r w:rsidR="001E140F">
        <w:rPr>
          <w:color w:val="000000" w:themeColor="text1"/>
        </w:rPr>
        <w:t xml:space="preserve">the result is </w:t>
      </w:r>
      <w:r w:rsidR="00867FBE">
        <w:rPr>
          <w:color w:val="000000" w:themeColor="text1"/>
        </w:rPr>
        <w:t xml:space="preserve">confirmed positive, </w:t>
      </w:r>
      <w:r w:rsidR="001E140F">
        <w:rPr>
          <w:color w:val="000000" w:themeColor="text1"/>
        </w:rPr>
        <w:t xml:space="preserve">the client </w:t>
      </w:r>
      <w:r w:rsidR="00B54179">
        <w:rPr>
          <w:color w:val="000000" w:themeColor="text1"/>
        </w:rPr>
        <w:t xml:space="preserve">should </w:t>
      </w:r>
      <w:r w:rsidR="497DCB1F" w:rsidRPr="56D00486">
        <w:rPr>
          <w:color w:val="000000" w:themeColor="text1"/>
        </w:rPr>
        <w:t>be immediately initiated on</w:t>
      </w:r>
      <w:r w:rsidR="00B54179">
        <w:rPr>
          <w:color w:val="000000" w:themeColor="text1"/>
        </w:rPr>
        <w:t xml:space="preserve"> or </w:t>
      </w:r>
      <w:r w:rsidR="497DCB1F" w:rsidRPr="56D00486">
        <w:rPr>
          <w:color w:val="000000" w:themeColor="text1"/>
        </w:rPr>
        <w:t>referred for ART.</w:t>
      </w:r>
      <w:r w:rsidR="2E5249ED" w:rsidRPr="56D00486">
        <w:rPr>
          <w:color w:val="000000" w:themeColor="text1"/>
        </w:rPr>
        <w:t xml:space="preserve"> </w:t>
      </w:r>
      <w:r w:rsidR="497DCB1F" w:rsidRPr="56D00486">
        <w:rPr>
          <w:color w:val="000000" w:themeColor="text1"/>
        </w:rPr>
        <w:t>If the test result is inconclusive, defer PrEP and follow the</w:t>
      </w:r>
      <w:r w:rsidR="497DCB1F">
        <w:t xml:space="preserve"> </w:t>
      </w:r>
      <w:r w:rsidR="497DCB1F" w:rsidRPr="56D00486">
        <w:rPr>
          <w:color w:val="000000" w:themeColor="text1"/>
        </w:rPr>
        <w:t>national algorithm</w:t>
      </w:r>
      <w:r w:rsidR="1514ADDD" w:rsidRPr="56D00486">
        <w:rPr>
          <w:color w:val="000000" w:themeColor="text1"/>
        </w:rPr>
        <w:t>/guidelines</w:t>
      </w:r>
      <w:r w:rsidR="497DCB1F" w:rsidRPr="56D00486">
        <w:rPr>
          <w:color w:val="000000" w:themeColor="text1"/>
        </w:rPr>
        <w:t xml:space="preserve"> until a definit</w:t>
      </w:r>
      <w:r w:rsidR="00BD0820">
        <w:rPr>
          <w:color w:val="000000" w:themeColor="text1"/>
        </w:rPr>
        <w:t>iv</w:t>
      </w:r>
      <w:r w:rsidR="497DCB1F" w:rsidRPr="56D00486">
        <w:rPr>
          <w:color w:val="000000" w:themeColor="text1"/>
        </w:rPr>
        <w:t>e HIV test result has been</w:t>
      </w:r>
      <w:r w:rsidR="653DF082" w:rsidRPr="56D00486">
        <w:rPr>
          <w:color w:val="000000" w:themeColor="text1"/>
        </w:rPr>
        <w:t xml:space="preserve"> o</w:t>
      </w:r>
      <w:r w:rsidR="497DCB1F" w:rsidRPr="56D00486">
        <w:rPr>
          <w:color w:val="000000" w:themeColor="text1"/>
        </w:rPr>
        <w:t>btained</w:t>
      </w:r>
      <w:r w:rsidR="2EE08B22" w:rsidRPr="56D00486">
        <w:rPr>
          <w:color w:val="000000" w:themeColor="text1"/>
        </w:rPr>
        <w:t>.</w:t>
      </w:r>
      <w:r w:rsidR="497DCB1F" w:rsidRPr="56D00486">
        <w:rPr>
          <w:color w:val="000000" w:themeColor="text1"/>
        </w:rPr>
        <w:t xml:space="preserve"> </w:t>
      </w:r>
      <w:r w:rsidR="22C85211" w:rsidRPr="56D00486">
        <w:rPr>
          <w:color w:val="000000" w:themeColor="text1"/>
        </w:rPr>
        <w:t>If available</w:t>
      </w:r>
      <w:r w:rsidR="052F1FB4" w:rsidRPr="56D00486">
        <w:rPr>
          <w:color w:val="000000" w:themeColor="text1"/>
        </w:rPr>
        <w:t xml:space="preserve"> and in line with the national testing algorithm</w:t>
      </w:r>
      <w:r w:rsidR="22C85211" w:rsidRPr="56D00486">
        <w:rPr>
          <w:color w:val="000000" w:themeColor="text1"/>
        </w:rPr>
        <w:t xml:space="preserve">, </w:t>
      </w:r>
      <w:r w:rsidR="1A400A0F" w:rsidRPr="56D00486">
        <w:rPr>
          <w:color w:val="000000" w:themeColor="text1"/>
        </w:rPr>
        <w:t xml:space="preserve">HIV self-testing </w:t>
      </w:r>
      <w:r w:rsidR="700E3510" w:rsidRPr="56D00486">
        <w:rPr>
          <w:color w:val="000000" w:themeColor="text1"/>
        </w:rPr>
        <w:t>can complement existing HIV testing strategies for starting, restarting, or continuing oral PrEP and the ring.</w:t>
      </w:r>
      <w:r w:rsidR="007E4F45">
        <w:rPr>
          <w:rStyle w:val="FootnoteReference"/>
          <w:color w:val="000000" w:themeColor="text1"/>
        </w:rPr>
        <w:footnoteReference w:id="33"/>
      </w:r>
      <w:r w:rsidR="700E3510" w:rsidRPr="56D00486">
        <w:rPr>
          <w:color w:val="000000" w:themeColor="text1"/>
        </w:rPr>
        <w:t xml:space="preserve"> </w:t>
      </w:r>
    </w:p>
    <w:p w14:paraId="3CAE5CD7" w14:textId="2111F0C9" w:rsidR="00925536" w:rsidRPr="00606B35" w:rsidRDefault="0089567B" w:rsidP="00DD508F">
      <w:pPr>
        <w:pBdr>
          <w:top w:val="nil"/>
          <w:left w:val="nil"/>
          <w:bottom w:val="nil"/>
          <w:right w:val="nil"/>
          <w:between w:val="nil"/>
        </w:pBdr>
        <w:spacing w:after="120" w:line="240" w:lineRule="auto"/>
        <w:rPr>
          <w:color w:val="000000"/>
        </w:rPr>
      </w:pPr>
      <w:r w:rsidRPr="00606B35">
        <w:rPr>
          <w:color w:val="000000" w:themeColor="text1"/>
        </w:rPr>
        <w:t xml:space="preserve">As part of HIV testing and counseling, clients should be </w:t>
      </w:r>
      <w:r w:rsidR="00037826">
        <w:rPr>
          <w:color w:val="000000" w:themeColor="text1"/>
        </w:rPr>
        <w:t xml:space="preserve">counseled on combination HIV prevention and </w:t>
      </w:r>
      <w:r w:rsidRPr="00606B35">
        <w:rPr>
          <w:color w:val="000000" w:themeColor="text1"/>
        </w:rPr>
        <w:t xml:space="preserve">provided with condoms and condom-compatible </w:t>
      </w:r>
      <w:r w:rsidR="001655F2" w:rsidRPr="00606B35">
        <w:rPr>
          <w:color w:val="000000" w:themeColor="text1"/>
        </w:rPr>
        <w:t>lubricant</w:t>
      </w:r>
      <w:r w:rsidR="0004218C" w:rsidRPr="00606B35">
        <w:rPr>
          <w:color w:val="000000" w:themeColor="text1"/>
        </w:rPr>
        <w:t>.</w:t>
      </w:r>
    </w:p>
    <w:tbl>
      <w:tblPr>
        <w:tblW w:w="0" w:type="auto"/>
        <w:tblLook w:val="04A0" w:firstRow="1" w:lastRow="0" w:firstColumn="1" w:lastColumn="0" w:noHBand="0" w:noVBand="1"/>
      </w:tblPr>
      <w:tblGrid>
        <w:gridCol w:w="10456"/>
      </w:tblGrid>
      <w:tr w:rsidR="0004218C" w:rsidRPr="00606B35" w14:paraId="3066DA49" w14:textId="77777777" w:rsidTr="56D00486">
        <w:tc>
          <w:tcPr>
            <w:tcW w:w="10456" w:type="dxa"/>
            <w:shd w:val="clear" w:color="auto" w:fill="C5E0B3" w:themeFill="accent6" w:themeFillTint="66"/>
          </w:tcPr>
          <w:p w14:paraId="7CFA7BA8" w14:textId="552FADCA" w:rsidR="0004218C" w:rsidRPr="00606B35" w:rsidRDefault="5BDF0F2F" w:rsidP="00DD508F">
            <w:pPr>
              <w:spacing w:after="120"/>
              <w:rPr>
                <w:color w:val="000000"/>
              </w:rPr>
            </w:pPr>
            <w:r w:rsidRPr="56D00486">
              <w:rPr>
                <w:b/>
                <w:bCs/>
                <w:color w:val="000000" w:themeColor="text1"/>
              </w:rPr>
              <w:t xml:space="preserve">For consideration: </w:t>
            </w:r>
            <w:r>
              <w:t>In some settings</w:t>
            </w:r>
            <w:r w:rsidR="00FE1361">
              <w:t>,</w:t>
            </w:r>
            <w:r>
              <w:t xml:space="preserve"> it may be difficult to</w:t>
            </w:r>
            <w:r w:rsidR="0004218C" w:rsidDel="5BDF0F2F">
              <w:t xml:space="preserve"> </w:t>
            </w:r>
            <w:r w:rsidR="5D0B808F">
              <w:t>offer</w:t>
            </w:r>
            <w:r w:rsidR="2C3D6517">
              <w:t xml:space="preserve"> </w:t>
            </w:r>
            <w:r w:rsidR="00FE1361">
              <w:t xml:space="preserve">a client </w:t>
            </w:r>
            <w:r>
              <w:t>PrEP on the same day</w:t>
            </w:r>
            <w:r w:rsidR="00154DC2">
              <w:t xml:space="preserve"> when</w:t>
            </w:r>
            <w:r>
              <w:t xml:space="preserve"> they test negative for HIV. Some programs accept </w:t>
            </w:r>
            <w:r w:rsidR="00FE1361">
              <w:t xml:space="preserve">the </w:t>
            </w:r>
            <w:r>
              <w:t xml:space="preserve">results of tests conducted within the last </w:t>
            </w:r>
            <w:r w:rsidR="389E9525">
              <w:t>three to seven</w:t>
            </w:r>
            <w:r>
              <w:t xml:space="preserve"> days if </w:t>
            </w:r>
            <w:r w:rsidR="00404DF7">
              <w:t>a</w:t>
            </w:r>
            <w:r w:rsidR="0020048E">
              <w:t xml:space="preserve"> client </w:t>
            </w:r>
            <w:r>
              <w:t xml:space="preserve">has </w:t>
            </w:r>
            <w:r w:rsidR="0020048E">
              <w:t>had</w:t>
            </w:r>
            <w:r>
              <w:t xml:space="preserve"> no </w:t>
            </w:r>
            <w:r w:rsidR="3A856E23">
              <w:t xml:space="preserve">potential </w:t>
            </w:r>
            <w:r>
              <w:t xml:space="preserve">exposure </w:t>
            </w:r>
            <w:r w:rsidR="0020048E">
              <w:t xml:space="preserve">to HIV </w:t>
            </w:r>
            <w:r>
              <w:t>since the</w:t>
            </w:r>
            <w:r w:rsidR="00AA6166">
              <w:t>ir test</w:t>
            </w:r>
            <w:r>
              <w:t>.</w:t>
            </w:r>
          </w:p>
        </w:tc>
      </w:tr>
    </w:tbl>
    <w:p w14:paraId="7F7F0BBF" w14:textId="12BDB9E6" w:rsidR="00925536" w:rsidRPr="00606B35" w:rsidRDefault="00925536" w:rsidP="00387455">
      <w:pPr>
        <w:pStyle w:val="Heading2"/>
        <w:spacing w:before="240" w:after="120" w:line="240" w:lineRule="auto"/>
        <w:rPr>
          <w:rFonts w:asciiTheme="minorHAnsi" w:hAnsiTheme="minorHAnsi" w:cstheme="minorBidi"/>
        </w:rPr>
      </w:pPr>
      <w:bookmarkStart w:id="42" w:name="_Toc182989122"/>
      <w:r w:rsidRPr="0294A27B">
        <w:rPr>
          <w:rFonts w:asciiTheme="minorHAnsi" w:hAnsiTheme="minorHAnsi" w:cstheme="minorBidi"/>
        </w:rPr>
        <w:lastRenderedPageBreak/>
        <w:t xml:space="preserve">Component 2: </w:t>
      </w:r>
      <w:r w:rsidR="00270B86" w:rsidRPr="0294A27B">
        <w:rPr>
          <w:rFonts w:asciiTheme="minorHAnsi" w:hAnsiTheme="minorHAnsi" w:cstheme="minorBidi"/>
        </w:rPr>
        <w:t>Assessment</w:t>
      </w:r>
      <w:r w:rsidR="001970BD">
        <w:rPr>
          <w:rFonts w:asciiTheme="minorHAnsi" w:hAnsiTheme="minorHAnsi" w:cstheme="minorBidi"/>
        </w:rPr>
        <w:t>s</w:t>
      </w:r>
      <w:bookmarkEnd w:id="42"/>
    </w:p>
    <w:p w14:paraId="667B9F81" w14:textId="626AE6CE" w:rsidR="00A243ED" w:rsidRPr="00606B35" w:rsidRDefault="11C62A1B" w:rsidP="00DD508F">
      <w:pPr>
        <w:spacing w:after="120" w:line="240" w:lineRule="auto"/>
      </w:pPr>
      <w:r>
        <w:t xml:space="preserve">The purpose of PrEP </w:t>
      </w:r>
      <w:r w:rsidR="0B7A71F7">
        <w:t xml:space="preserve">assessment </w:t>
      </w:r>
      <w:r>
        <w:t>is to make sure</w:t>
      </w:r>
      <w:r w:rsidR="7938965C">
        <w:t xml:space="preserve"> </w:t>
      </w:r>
      <w:r w:rsidR="001F6370">
        <w:t>a</w:t>
      </w:r>
      <w:r w:rsidR="7938965C">
        <w:t xml:space="preserve"> client</w:t>
      </w:r>
      <w:r>
        <w:t xml:space="preserve">: 1) is prescribed </w:t>
      </w:r>
      <w:r w:rsidR="35D7F79A">
        <w:t>PEP</w:t>
      </w:r>
      <w:r w:rsidR="3FC6170B">
        <w:t>,</w:t>
      </w:r>
      <w:r w:rsidR="35D7F79A">
        <w:t xml:space="preserve"> </w:t>
      </w:r>
      <w:r>
        <w:t>instead of PrEP</w:t>
      </w:r>
      <w:r w:rsidR="7E98B397">
        <w:t>,</w:t>
      </w:r>
      <w:r>
        <w:t xml:space="preserve"> </w:t>
      </w:r>
      <w:r w:rsidR="22ED1AE7">
        <w:t>if they have had</w:t>
      </w:r>
      <w:r>
        <w:t xml:space="preserve"> potential exposure </w:t>
      </w:r>
      <w:r w:rsidR="57C8A947">
        <w:t>to HIV</w:t>
      </w:r>
      <w:r w:rsidR="5F0EA31E">
        <w:t xml:space="preserve"> </w:t>
      </w:r>
      <w:r>
        <w:t xml:space="preserve">within </w:t>
      </w:r>
      <w:r w:rsidR="76BA39B0">
        <w:t xml:space="preserve">the last </w:t>
      </w:r>
      <w:r>
        <w:t xml:space="preserve">72 hours; 2) </w:t>
      </w:r>
      <w:r w:rsidR="003F3936" w:rsidRPr="00A858F7">
        <w:t>has been assessed for AHI</w:t>
      </w:r>
      <w:r w:rsidR="00617762" w:rsidRPr="00A858F7">
        <w:t xml:space="preserve"> and if</w:t>
      </w:r>
      <w:r w:rsidR="002141D8" w:rsidRPr="00A858F7">
        <w:t xml:space="preserve"> </w:t>
      </w:r>
      <w:r w:rsidR="00514ACD" w:rsidRPr="00A858F7">
        <w:t>AHI possible</w:t>
      </w:r>
      <w:r w:rsidR="002141D8" w:rsidRPr="00A858F7">
        <w:t>, use of PrEP deferred pending re-testing</w:t>
      </w:r>
      <w:r w:rsidR="7C036B7E">
        <w:t>; 3) is</w:t>
      </w:r>
      <w:r>
        <w:t xml:space="preserve"> </w:t>
      </w:r>
      <w:r w:rsidR="5D2D7C73">
        <w:t>indicated for</w:t>
      </w:r>
      <w:r>
        <w:t xml:space="preserve"> PrEP use</w:t>
      </w:r>
      <w:r w:rsidR="001F6370">
        <w:t xml:space="preserve"> and/or requesting PrEP</w:t>
      </w:r>
      <w:r w:rsidR="7C036B7E">
        <w:t>;</w:t>
      </w:r>
      <w:r>
        <w:t xml:space="preserve"> and </w:t>
      </w:r>
      <w:r w:rsidR="7C036B7E">
        <w:t xml:space="preserve">4) </w:t>
      </w:r>
      <w:bookmarkStart w:id="43" w:name="_Int_L1VfG5yq"/>
      <w:r w:rsidR="7C036B7E">
        <w:t>is</w:t>
      </w:r>
      <w:bookmarkEnd w:id="43"/>
      <w:r w:rsidR="7C036B7E">
        <w:t xml:space="preserve"> </w:t>
      </w:r>
      <w:r>
        <w:t xml:space="preserve">free of contraindications </w:t>
      </w:r>
      <w:r w:rsidR="280AA930">
        <w:t xml:space="preserve">for use </w:t>
      </w:r>
      <w:r w:rsidR="4B3A681D">
        <w:t>o</w:t>
      </w:r>
      <w:r>
        <w:t xml:space="preserve">f </w:t>
      </w:r>
      <w:r w:rsidR="071F8B7C">
        <w:t xml:space="preserve">their chosen </w:t>
      </w:r>
      <w:r>
        <w:t xml:space="preserve">PrEP </w:t>
      </w:r>
      <w:r w:rsidR="65ED4039">
        <w:t>method</w:t>
      </w:r>
      <w:r>
        <w:t>.</w:t>
      </w:r>
      <w:r w:rsidR="00666A6C" w:rsidRPr="009B04EC">
        <w:rPr>
          <w:rStyle w:val="FootnoteReference"/>
        </w:rPr>
        <w:footnoteReference w:id="34"/>
      </w:r>
      <w:r w:rsidRPr="009B04EC">
        <w:rPr>
          <w:vertAlign w:val="superscript"/>
        </w:rPr>
        <w:t xml:space="preserve"> </w:t>
      </w:r>
      <w:r w:rsidRPr="008B1B24">
        <w:rPr>
          <w:i/>
          <w:iCs/>
        </w:rPr>
        <w:t>Diagram 1</w:t>
      </w:r>
      <w:r>
        <w:t xml:space="preserve"> outlines the algorithm for </w:t>
      </w:r>
      <w:r w:rsidR="36154919">
        <w:t>ruling out</w:t>
      </w:r>
      <w:r w:rsidR="00322D44">
        <w:t xml:space="preserve"> </w:t>
      </w:r>
      <w:r w:rsidR="00322D44" w:rsidRPr="00A858F7">
        <w:t>HIV through HIV testing, and PEP and AHI assessment.</w:t>
      </w:r>
      <w:r w:rsidR="36154919" w:rsidRPr="00A858F7">
        <w:t xml:space="preserve"> </w:t>
      </w:r>
      <w:r w:rsidR="00322D44" w:rsidRPr="00A858F7">
        <w:t xml:space="preserve">Once HIV </w:t>
      </w:r>
      <w:r w:rsidR="007F2D49" w:rsidRPr="00A858F7">
        <w:t>exposure</w:t>
      </w:r>
      <w:r w:rsidR="0011236A" w:rsidRPr="00A858F7">
        <w:t xml:space="preserve"> or potential acquisition</w:t>
      </w:r>
      <w:r w:rsidR="007F2D49" w:rsidRPr="00A858F7">
        <w:t xml:space="preserve"> </w:t>
      </w:r>
      <w:r w:rsidR="00322D44" w:rsidRPr="00A858F7">
        <w:t xml:space="preserve">has been ruled out through these </w:t>
      </w:r>
      <w:r w:rsidR="00BC3318" w:rsidRPr="00A858F7">
        <w:t xml:space="preserve">three steps, clinicians may </w:t>
      </w:r>
      <w:r w:rsidR="0011236A" w:rsidRPr="00A858F7">
        <w:t xml:space="preserve">assess </w:t>
      </w:r>
      <w:r w:rsidR="00BC3318" w:rsidRPr="00A858F7">
        <w:t>for clinical contraindications to ensure the client is eligible for their chosen PrEP method.</w:t>
      </w:r>
    </w:p>
    <w:p w14:paraId="5A8CAE6A" w14:textId="77777777" w:rsidR="00D407E1" w:rsidRPr="00606B35" w:rsidRDefault="00925536" w:rsidP="00DD508F">
      <w:pPr>
        <w:pBdr>
          <w:top w:val="nil"/>
          <w:left w:val="nil"/>
          <w:bottom w:val="nil"/>
          <w:right w:val="nil"/>
          <w:between w:val="nil"/>
        </w:pBdr>
        <w:spacing w:after="120" w:line="240" w:lineRule="auto"/>
        <w:rPr>
          <w:b/>
          <w:color w:val="000000"/>
          <w:u w:val="single"/>
        </w:rPr>
      </w:pPr>
      <w:bookmarkStart w:id="44" w:name="_Int_At53lGcH"/>
      <w:r w:rsidRPr="56A8B45C">
        <w:rPr>
          <w:b/>
          <w:color w:val="000000" w:themeColor="text1"/>
          <w:u w:val="single"/>
        </w:rPr>
        <w:t>Assess for</w:t>
      </w:r>
      <w:bookmarkEnd w:id="44"/>
      <w:r w:rsidRPr="56A8B45C">
        <w:rPr>
          <w:b/>
          <w:color w:val="000000" w:themeColor="text1"/>
          <w:u w:val="single"/>
        </w:rPr>
        <w:t xml:space="preserve"> PEP Indication</w:t>
      </w:r>
    </w:p>
    <w:p w14:paraId="5010DD2A" w14:textId="78C2AFDC" w:rsidR="00925536" w:rsidRPr="00606B35" w:rsidRDefault="00925536" w:rsidP="00DD508F">
      <w:pPr>
        <w:pBdr>
          <w:top w:val="nil"/>
          <w:left w:val="nil"/>
          <w:bottom w:val="nil"/>
          <w:right w:val="nil"/>
          <w:between w:val="nil"/>
        </w:pBdr>
        <w:spacing w:after="120" w:line="240" w:lineRule="auto"/>
        <w:rPr>
          <w:color w:val="000000"/>
        </w:rPr>
      </w:pPr>
      <w:r w:rsidRPr="00B25741">
        <w:rPr>
          <w:b/>
          <w:bCs/>
          <w:color w:val="000000" w:themeColor="text1"/>
        </w:rPr>
        <w:t xml:space="preserve">Clients exposed to HIV </w:t>
      </w:r>
      <w:r w:rsidR="002A7338" w:rsidRPr="00B25741">
        <w:rPr>
          <w:b/>
          <w:bCs/>
          <w:color w:val="000000" w:themeColor="text1"/>
        </w:rPr>
        <w:t>with</w:t>
      </w:r>
      <w:r w:rsidRPr="00B25741">
        <w:rPr>
          <w:b/>
          <w:bCs/>
          <w:color w:val="000000" w:themeColor="text1"/>
        </w:rPr>
        <w:t>in the past 72 hours:</w:t>
      </w:r>
      <w:r w:rsidRPr="5163B5CD">
        <w:rPr>
          <w:color w:val="000000" w:themeColor="text1"/>
        </w:rPr>
        <w:t xml:space="preserve"> If a client reports an exposure to HIV </w:t>
      </w:r>
      <w:r w:rsidR="00C454C9">
        <w:rPr>
          <w:color w:val="000000" w:themeColor="text1"/>
        </w:rPr>
        <w:t>with</w:t>
      </w:r>
      <w:r w:rsidRPr="5163B5CD">
        <w:rPr>
          <w:color w:val="000000" w:themeColor="text1"/>
        </w:rPr>
        <w:t xml:space="preserve">in the past 72 hours, screen for PEP </w:t>
      </w:r>
      <w:r w:rsidR="00936BE6" w:rsidRPr="5163B5CD">
        <w:rPr>
          <w:color w:val="000000" w:themeColor="text1"/>
        </w:rPr>
        <w:t xml:space="preserve">indication </w:t>
      </w:r>
      <w:r w:rsidRPr="5163B5CD">
        <w:rPr>
          <w:color w:val="000000" w:themeColor="text1"/>
        </w:rPr>
        <w:t>instead of PrEP</w:t>
      </w:r>
      <w:r w:rsidR="5685FDF6" w:rsidRPr="5163B5CD">
        <w:rPr>
          <w:color w:val="000000" w:themeColor="text1"/>
        </w:rPr>
        <w:t xml:space="preserve"> and provide </w:t>
      </w:r>
      <w:r w:rsidR="001F6370">
        <w:rPr>
          <w:color w:val="000000" w:themeColor="text1"/>
        </w:rPr>
        <w:t xml:space="preserve">PEP </w:t>
      </w:r>
      <w:r w:rsidR="5685FDF6" w:rsidRPr="5163B5CD">
        <w:rPr>
          <w:color w:val="000000" w:themeColor="text1"/>
        </w:rPr>
        <w:t xml:space="preserve">according to </w:t>
      </w:r>
      <w:r w:rsidRPr="5163B5CD">
        <w:rPr>
          <w:color w:val="000000" w:themeColor="text1"/>
        </w:rPr>
        <w:t xml:space="preserve">national </w:t>
      </w:r>
      <w:r w:rsidR="5685FDF6" w:rsidRPr="5163B5CD">
        <w:rPr>
          <w:color w:val="000000" w:themeColor="text1"/>
        </w:rPr>
        <w:t>guidelines</w:t>
      </w:r>
      <w:r w:rsidR="00D65CBB" w:rsidRPr="5163B5CD">
        <w:rPr>
          <w:color w:val="000000" w:themeColor="text1"/>
        </w:rPr>
        <w:t>.</w:t>
      </w:r>
      <w:r w:rsidRPr="5163B5CD">
        <w:rPr>
          <w:color w:val="000000" w:themeColor="text1"/>
        </w:rPr>
        <w:t xml:space="preserve"> </w:t>
      </w:r>
      <w:r w:rsidR="00FF5568">
        <w:rPr>
          <w:color w:val="000000" w:themeColor="text1"/>
        </w:rPr>
        <w:t xml:space="preserve">PEP should be offered as early as possible, ideally within 24 hours but </w:t>
      </w:r>
      <w:r w:rsidR="00143560">
        <w:rPr>
          <w:color w:val="000000" w:themeColor="text1"/>
        </w:rPr>
        <w:t>not later than 72 hours</w:t>
      </w:r>
      <w:r w:rsidR="008B1B24">
        <w:rPr>
          <w:color w:val="000000" w:themeColor="text1"/>
        </w:rPr>
        <w:t xml:space="preserve"> after exposure</w:t>
      </w:r>
      <w:r w:rsidR="00143560">
        <w:rPr>
          <w:color w:val="000000" w:themeColor="text1"/>
        </w:rPr>
        <w:t>.</w:t>
      </w:r>
      <w:r w:rsidR="009D2CFC">
        <w:rPr>
          <w:rStyle w:val="FootnoteReference"/>
          <w:color w:val="000000" w:themeColor="text1"/>
        </w:rPr>
        <w:footnoteReference w:id="35"/>
      </w:r>
      <w:r w:rsidR="00143560">
        <w:rPr>
          <w:color w:val="000000" w:themeColor="text1"/>
        </w:rPr>
        <w:t xml:space="preserve"> </w:t>
      </w:r>
      <w:r w:rsidRPr="5163B5CD">
        <w:rPr>
          <w:color w:val="000000" w:themeColor="text1"/>
        </w:rPr>
        <w:t>Educate clients on the difference</w:t>
      </w:r>
      <w:r w:rsidR="001F6370">
        <w:rPr>
          <w:color w:val="000000" w:themeColor="text1"/>
        </w:rPr>
        <w:t>s</w:t>
      </w:r>
      <w:r w:rsidRPr="5163B5CD">
        <w:rPr>
          <w:color w:val="000000" w:themeColor="text1"/>
        </w:rPr>
        <w:t xml:space="preserve"> </w:t>
      </w:r>
      <w:r w:rsidR="001F6370">
        <w:rPr>
          <w:color w:val="000000" w:themeColor="text1"/>
        </w:rPr>
        <w:t>among</w:t>
      </w:r>
      <w:r w:rsidRPr="5163B5CD">
        <w:rPr>
          <w:color w:val="000000" w:themeColor="text1"/>
        </w:rPr>
        <w:t xml:space="preserve"> PEP, PrEP, and ART and offer </w:t>
      </w:r>
      <w:r w:rsidR="00936BE6" w:rsidRPr="5163B5CD">
        <w:rPr>
          <w:color w:val="000000" w:themeColor="text1"/>
        </w:rPr>
        <w:t>HIV exposure</w:t>
      </w:r>
      <w:r w:rsidRPr="5163B5CD">
        <w:rPr>
          <w:color w:val="000000" w:themeColor="text1"/>
        </w:rPr>
        <w:t xml:space="preserve"> reduction counseling. After 28 days of PEP, a client may be transitioned from PEP to PrEP without </w:t>
      </w:r>
      <w:r w:rsidR="00DF2DC9">
        <w:rPr>
          <w:color w:val="000000" w:themeColor="text1"/>
        </w:rPr>
        <w:t xml:space="preserve">a gap </w:t>
      </w:r>
      <w:r w:rsidRPr="5163B5CD">
        <w:rPr>
          <w:color w:val="000000" w:themeColor="text1"/>
        </w:rPr>
        <w:t>a</w:t>
      </w:r>
      <w:r w:rsidR="00DF2DC9">
        <w:rPr>
          <w:color w:val="000000" w:themeColor="text1"/>
        </w:rPr>
        <w:t xml:space="preserve">fter receiving an </w:t>
      </w:r>
      <w:r w:rsidRPr="5163B5CD">
        <w:rPr>
          <w:color w:val="000000" w:themeColor="text1"/>
        </w:rPr>
        <w:t xml:space="preserve">HIV-negative </w:t>
      </w:r>
      <w:r w:rsidR="00DF2DC9">
        <w:rPr>
          <w:color w:val="000000" w:themeColor="text1"/>
        </w:rPr>
        <w:t xml:space="preserve">test result </w:t>
      </w:r>
      <w:r w:rsidRPr="5163B5CD">
        <w:rPr>
          <w:color w:val="000000" w:themeColor="text1"/>
        </w:rPr>
        <w:t xml:space="preserve">and </w:t>
      </w:r>
      <w:r w:rsidR="00DF2DC9">
        <w:rPr>
          <w:color w:val="000000" w:themeColor="text1"/>
        </w:rPr>
        <w:t xml:space="preserve">if they </w:t>
      </w:r>
      <w:r w:rsidR="00936BE6" w:rsidRPr="5163B5CD">
        <w:rPr>
          <w:color w:val="000000" w:themeColor="text1"/>
        </w:rPr>
        <w:t>meet other criteria for PrEP use.</w:t>
      </w:r>
      <w:r w:rsidR="00826629">
        <w:rPr>
          <w:color w:val="000000" w:themeColor="text1"/>
        </w:rPr>
        <w:t xml:space="preserve"> </w:t>
      </w:r>
    </w:p>
    <w:p w14:paraId="6E991C68" w14:textId="090F5B5C" w:rsidR="00D407E1" w:rsidRPr="00606B35" w:rsidRDefault="00925536" w:rsidP="00DD508F">
      <w:pPr>
        <w:pBdr>
          <w:top w:val="nil"/>
          <w:left w:val="nil"/>
          <w:bottom w:val="nil"/>
          <w:right w:val="nil"/>
          <w:between w:val="nil"/>
        </w:pBdr>
        <w:spacing w:after="120" w:line="240" w:lineRule="auto"/>
        <w:rPr>
          <w:b/>
          <w:color w:val="000000"/>
          <w:u w:val="single"/>
        </w:rPr>
      </w:pPr>
      <w:bookmarkStart w:id="45" w:name="_Int_Z7xrIxam"/>
      <w:r w:rsidRPr="436C5D78">
        <w:rPr>
          <w:b/>
          <w:color w:val="000000" w:themeColor="text1"/>
          <w:u w:val="single"/>
        </w:rPr>
        <w:t>Assess for</w:t>
      </w:r>
      <w:bookmarkEnd w:id="45"/>
      <w:r w:rsidRPr="436C5D78">
        <w:rPr>
          <w:b/>
          <w:color w:val="000000" w:themeColor="text1"/>
          <w:u w:val="single"/>
        </w:rPr>
        <w:t xml:space="preserve"> Acute HIV Infection</w:t>
      </w:r>
    </w:p>
    <w:p w14:paraId="553E157C" w14:textId="641F835C" w:rsidR="00824D3D" w:rsidRPr="00E26F58" w:rsidRDefault="00925536" w:rsidP="00DD508F">
      <w:pPr>
        <w:pBdr>
          <w:top w:val="nil"/>
          <w:left w:val="nil"/>
          <w:bottom w:val="nil"/>
          <w:right w:val="nil"/>
          <w:between w:val="nil"/>
        </w:pBdr>
        <w:spacing w:after="120" w:line="240" w:lineRule="auto"/>
        <w:rPr>
          <w:color w:val="000000" w:themeColor="text1"/>
        </w:rPr>
      </w:pPr>
      <w:r w:rsidRPr="00B25741">
        <w:rPr>
          <w:b/>
          <w:bCs/>
          <w:color w:val="000000" w:themeColor="text1"/>
        </w:rPr>
        <w:t xml:space="preserve">Clients suspected </w:t>
      </w:r>
      <w:r w:rsidR="6A95FB75" w:rsidRPr="00B25741">
        <w:rPr>
          <w:b/>
          <w:bCs/>
          <w:color w:val="000000" w:themeColor="text1"/>
        </w:rPr>
        <w:t>of having</w:t>
      </w:r>
      <w:r w:rsidRPr="00B25741">
        <w:rPr>
          <w:b/>
          <w:bCs/>
          <w:color w:val="000000" w:themeColor="text1"/>
        </w:rPr>
        <w:t xml:space="preserve"> AHI:</w:t>
      </w:r>
      <w:r w:rsidRPr="00606B35">
        <w:rPr>
          <w:color w:val="000000" w:themeColor="text1"/>
        </w:rPr>
        <w:t xml:space="preserve"> If </w:t>
      </w:r>
      <w:r w:rsidR="00C45BE3">
        <w:rPr>
          <w:color w:val="000000" w:themeColor="text1"/>
        </w:rPr>
        <w:t xml:space="preserve">a </w:t>
      </w:r>
      <w:r w:rsidRPr="00606B35">
        <w:rPr>
          <w:color w:val="000000" w:themeColor="text1"/>
        </w:rPr>
        <w:t xml:space="preserve">client </w:t>
      </w:r>
      <w:r w:rsidR="007C0C5A">
        <w:rPr>
          <w:color w:val="000000" w:themeColor="text1"/>
        </w:rPr>
        <w:t xml:space="preserve">has </w:t>
      </w:r>
      <w:r w:rsidR="00926767">
        <w:rPr>
          <w:color w:val="000000" w:themeColor="text1"/>
        </w:rPr>
        <w:t xml:space="preserve">or has </w:t>
      </w:r>
      <w:r w:rsidR="007C0C5A">
        <w:rPr>
          <w:color w:val="000000" w:themeColor="text1"/>
        </w:rPr>
        <w:t>had</w:t>
      </w:r>
      <w:r w:rsidRPr="00606B35">
        <w:rPr>
          <w:color w:val="000000" w:themeColor="text1"/>
        </w:rPr>
        <w:t xml:space="preserve"> signs and symptoms of </w:t>
      </w:r>
      <w:r w:rsidR="00936BE6" w:rsidRPr="00606B35">
        <w:rPr>
          <w:color w:val="000000" w:themeColor="text1"/>
        </w:rPr>
        <w:t xml:space="preserve">acute </w:t>
      </w:r>
      <w:r w:rsidRPr="00606B35">
        <w:rPr>
          <w:color w:val="000000" w:themeColor="text1"/>
        </w:rPr>
        <w:t>HIV infection (</w:t>
      </w:r>
      <w:r w:rsidR="00144381" w:rsidRPr="00606B35">
        <w:rPr>
          <w:color w:val="000000" w:themeColor="text1"/>
        </w:rPr>
        <w:t>s</w:t>
      </w:r>
      <w:r w:rsidRPr="00606B35">
        <w:rPr>
          <w:color w:val="000000" w:themeColor="text1"/>
        </w:rPr>
        <w:t>ee</w:t>
      </w:r>
      <w:r w:rsidRPr="00606B35">
        <w:rPr>
          <w:i/>
          <w:color w:val="000000" w:themeColor="text1"/>
        </w:rPr>
        <w:t xml:space="preserve"> Box 1</w:t>
      </w:r>
      <w:r w:rsidR="00E74703" w:rsidRPr="00606B35">
        <w:rPr>
          <w:i/>
          <w:color w:val="000000" w:themeColor="text1"/>
        </w:rPr>
        <w:t xml:space="preserve"> </w:t>
      </w:r>
      <w:r w:rsidR="00E74703" w:rsidRPr="00606B35">
        <w:rPr>
          <w:color w:val="000000" w:themeColor="text1"/>
        </w:rPr>
        <w:t>above</w:t>
      </w:r>
      <w:r w:rsidRPr="00606B35">
        <w:rPr>
          <w:color w:val="000000" w:themeColor="text1"/>
        </w:rPr>
        <w:t>) AND possible exposure to HIV in the 14 days</w:t>
      </w:r>
      <w:r w:rsidR="00926767">
        <w:rPr>
          <w:color w:val="000000" w:themeColor="text1"/>
        </w:rPr>
        <w:t xml:space="preserve"> prior to symptom onset</w:t>
      </w:r>
      <w:r w:rsidRPr="00606B35">
        <w:rPr>
          <w:color w:val="000000" w:themeColor="text1"/>
        </w:rPr>
        <w:t xml:space="preserve">, </w:t>
      </w:r>
      <w:r w:rsidR="00421C94" w:rsidRPr="00421C94">
        <w:rPr>
          <w:color w:val="000000" w:themeColor="text1"/>
        </w:rPr>
        <w:t xml:space="preserve">it is possible that the client's symptoms may be </w:t>
      </w:r>
      <w:r w:rsidR="00421C94" w:rsidRPr="00E26F58">
        <w:rPr>
          <w:color w:val="000000" w:themeColor="text1"/>
        </w:rPr>
        <w:t>due to AHI</w:t>
      </w:r>
      <w:r w:rsidR="009935EA" w:rsidRPr="00E26F58">
        <w:rPr>
          <w:color w:val="000000" w:themeColor="text1"/>
        </w:rPr>
        <w:t xml:space="preserve">, </w:t>
      </w:r>
      <w:r w:rsidR="00F870BA" w:rsidRPr="00E26F58">
        <w:rPr>
          <w:color w:val="000000" w:themeColor="text1"/>
        </w:rPr>
        <w:t xml:space="preserve">especially if a prevention method was not being used or not being used </w:t>
      </w:r>
      <w:r w:rsidR="00484E76" w:rsidRPr="00E26F58">
        <w:rPr>
          <w:color w:val="000000" w:themeColor="text1"/>
        </w:rPr>
        <w:t>effectively.</w:t>
      </w:r>
      <w:r w:rsidR="00421C94" w:rsidRPr="00E26F58">
        <w:rPr>
          <w:color w:val="000000" w:themeColor="text1"/>
        </w:rPr>
        <w:t xml:space="preserve"> Given the client's timing of potential exposure(s), </w:t>
      </w:r>
      <w:r w:rsidR="00D0426A">
        <w:rPr>
          <w:color w:val="000000" w:themeColor="text1"/>
        </w:rPr>
        <w:t xml:space="preserve">the </w:t>
      </w:r>
      <w:r w:rsidR="00421C94" w:rsidRPr="00E26F58">
        <w:t>provider and client should weigh the risks and benefits of delaying PrEP initiation and re</w:t>
      </w:r>
      <w:r w:rsidR="00450F1A" w:rsidRPr="00E26F58">
        <w:t>te</w:t>
      </w:r>
      <w:r w:rsidR="00421C94" w:rsidRPr="00E26F58">
        <w:t xml:space="preserve">sting </w:t>
      </w:r>
      <w:r w:rsidR="00D0426A">
        <w:t xml:space="preserve">the </w:t>
      </w:r>
      <w:r w:rsidR="00421C94" w:rsidRPr="00E26F58">
        <w:t xml:space="preserve">client </w:t>
      </w:r>
      <w:r w:rsidR="00EA0D6E" w:rsidRPr="00E26F58">
        <w:t xml:space="preserve">in 28 days </w:t>
      </w:r>
      <w:r w:rsidR="00421C94" w:rsidRPr="00E26F58">
        <w:t xml:space="preserve">per </w:t>
      </w:r>
      <w:r w:rsidR="009E582F">
        <w:t xml:space="preserve">the </w:t>
      </w:r>
      <w:r w:rsidR="00421C94" w:rsidRPr="00E26F58">
        <w:t xml:space="preserve">national algorithm, or earlier </w:t>
      </w:r>
      <w:r w:rsidR="00421C94" w:rsidRPr="00E26F58">
        <w:rPr>
          <w:color w:val="000000" w:themeColor="text1"/>
        </w:rPr>
        <w:t xml:space="preserve">if HIV testing </w:t>
      </w:r>
      <w:r w:rsidR="00D0426A">
        <w:rPr>
          <w:color w:val="000000" w:themeColor="text1"/>
        </w:rPr>
        <w:t xml:space="preserve">is </w:t>
      </w:r>
      <w:r w:rsidR="00421C94" w:rsidRPr="00E26F58">
        <w:rPr>
          <w:color w:val="000000" w:themeColor="text1"/>
        </w:rPr>
        <w:t>available that can reliably detect HIV.</w:t>
      </w:r>
      <w:r w:rsidR="002220F9" w:rsidRPr="009B04EC">
        <w:rPr>
          <w:color w:val="000000" w:themeColor="text1"/>
          <w:vertAlign w:val="superscript"/>
        </w:rPr>
        <w:t>31</w:t>
      </w:r>
      <w:r w:rsidR="00480A52">
        <w:rPr>
          <w:color w:val="000000" w:themeColor="text1"/>
          <w:vertAlign w:val="superscript"/>
        </w:rPr>
        <w:t xml:space="preserve"> </w:t>
      </w:r>
      <w:r w:rsidR="00086496" w:rsidRPr="00E26F58">
        <w:rPr>
          <w:color w:val="000000" w:themeColor="text1"/>
        </w:rPr>
        <w:t>C</w:t>
      </w:r>
      <w:r w:rsidR="00AE5558" w:rsidRPr="00E26F58">
        <w:rPr>
          <w:color w:val="000000" w:themeColor="text1"/>
        </w:rPr>
        <w:t>lients</w:t>
      </w:r>
      <w:r w:rsidR="00086496" w:rsidRPr="00E26F58">
        <w:rPr>
          <w:color w:val="000000" w:themeColor="text1"/>
        </w:rPr>
        <w:t xml:space="preserve"> should be provided</w:t>
      </w:r>
      <w:r w:rsidR="00AE5558" w:rsidRPr="00E26F58">
        <w:rPr>
          <w:color w:val="000000" w:themeColor="text1"/>
        </w:rPr>
        <w:t xml:space="preserve"> with </w:t>
      </w:r>
      <w:r w:rsidR="00936BE6" w:rsidRPr="00E26F58">
        <w:rPr>
          <w:color w:val="000000" w:themeColor="text1"/>
        </w:rPr>
        <w:t>HIV exposure</w:t>
      </w:r>
      <w:r w:rsidRPr="00E26F58">
        <w:rPr>
          <w:color w:val="000000" w:themeColor="text1"/>
        </w:rPr>
        <w:t xml:space="preserve"> reduction counseling</w:t>
      </w:r>
      <w:r w:rsidR="00806C70" w:rsidRPr="00E26F58">
        <w:rPr>
          <w:color w:val="000000" w:themeColor="text1"/>
        </w:rPr>
        <w:t>,</w:t>
      </w:r>
      <w:r w:rsidRPr="00E26F58">
        <w:rPr>
          <w:color w:val="000000" w:themeColor="text1"/>
        </w:rPr>
        <w:t xml:space="preserve"> as well as STI screening, diagnosis, and management, if available. </w:t>
      </w:r>
      <w:r w:rsidR="005C62DF" w:rsidRPr="00E26F58">
        <w:rPr>
          <w:color w:val="000000" w:themeColor="text1"/>
        </w:rPr>
        <w:t>I</w:t>
      </w:r>
      <w:r w:rsidRPr="00E26F58">
        <w:rPr>
          <w:color w:val="000000" w:themeColor="text1"/>
        </w:rPr>
        <w:t>f</w:t>
      </w:r>
      <w:r w:rsidR="00936BE6" w:rsidRPr="00E26F58">
        <w:rPr>
          <w:color w:val="000000" w:themeColor="text1"/>
        </w:rPr>
        <w:t xml:space="preserve"> the client</w:t>
      </w:r>
      <w:r w:rsidR="005C62DF" w:rsidRPr="00E26F58">
        <w:rPr>
          <w:color w:val="000000" w:themeColor="text1"/>
        </w:rPr>
        <w:t xml:space="preserve"> has an HIV-negative result after retesting</w:t>
      </w:r>
      <w:r w:rsidR="00936BE6" w:rsidRPr="00E26F58">
        <w:rPr>
          <w:color w:val="000000" w:themeColor="text1"/>
        </w:rPr>
        <w:t xml:space="preserve"> and</w:t>
      </w:r>
      <w:r w:rsidR="005C62DF" w:rsidRPr="00E26F58">
        <w:rPr>
          <w:color w:val="000000" w:themeColor="text1"/>
        </w:rPr>
        <w:t xml:space="preserve"> the client</w:t>
      </w:r>
      <w:r w:rsidR="00936BE6" w:rsidRPr="00E26F58">
        <w:rPr>
          <w:color w:val="000000" w:themeColor="text1"/>
        </w:rPr>
        <w:t xml:space="preserve"> meets other criteria for PrEP use, the client can start PrEP.</w:t>
      </w:r>
      <w:r w:rsidR="48562015" w:rsidRPr="00E26F58">
        <w:rPr>
          <w:color w:val="000000" w:themeColor="text1"/>
        </w:rPr>
        <w:t xml:space="preserve"> </w:t>
      </w:r>
    </w:p>
    <w:tbl>
      <w:tblPr>
        <w:tblW w:w="0" w:type="auto"/>
        <w:tblLook w:val="04A0" w:firstRow="1" w:lastRow="0" w:firstColumn="1" w:lastColumn="0" w:noHBand="0" w:noVBand="1"/>
      </w:tblPr>
      <w:tblGrid>
        <w:gridCol w:w="10456"/>
      </w:tblGrid>
      <w:tr w:rsidR="00F63B6A" w:rsidRPr="00606B35" w14:paraId="1E256706" w14:textId="77777777">
        <w:tc>
          <w:tcPr>
            <w:tcW w:w="10456" w:type="dxa"/>
            <w:shd w:val="clear" w:color="auto" w:fill="C5E0B3" w:themeFill="accent6" w:themeFillTint="66"/>
          </w:tcPr>
          <w:p w14:paraId="32BD2AF2" w14:textId="68C0F687" w:rsidR="00F63B6A" w:rsidRPr="0023631A" w:rsidRDefault="00F63B6A">
            <w:pPr>
              <w:spacing w:after="120"/>
              <w:rPr>
                <w:color w:val="000000"/>
              </w:rPr>
            </w:pPr>
            <w:r w:rsidRPr="00E26F58">
              <w:rPr>
                <w:b/>
                <w:bCs/>
                <w:color w:val="000000" w:themeColor="text1"/>
              </w:rPr>
              <w:t>For consideration:</w:t>
            </w:r>
            <w:r w:rsidR="0023631A" w:rsidRPr="00E26F58">
              <w:rPr>
                <w:b/>
                <w:bCs/>
                <w:color w:val="000000" w:themeColor="text1"/>
              </w:rPr>
              <w:t xml:space="preserve"> </w:t>
            </w:r>
            <w:r w:rsidR="009B7953">
              <w:rPr>
                <w:color w:val="000000" w:themeColor="text1"/>
              </w:rPr>
              <w:t>J</w:t>
            </w:r>
            <w:r w:rsidR="00980782" w:rsidRPr="00E26F58">
              <w:rPr>
                <w:color w:val="000000" w:themeColor="text1"/>
              </w:rPr>
              <w:t>ob aids</w:t>
            </w:r>
            <w:r w:rsidR="001622D1" w:rsidRPr="00E26F58">
              <w:rPr>
                <w:color w:val="000000" w:themeColor="text1"/>
              </w:rPr>
              <w:t xml:space="preserve"> </w:t>
            </w:r>
            <w:r w:rsidR="009B7953">
              <w:rPr>
                <w:color w:val="000000" w:themeColor="text1"/>
              </w:rPr>
              <w:t xml:space="preserve">are </w:t>
            </w:r>
            <w:r w:rsidR="001622D1" w:rsidRPr="00E26F58">
              <w:rPr>
                <w:color w:val="000000" w:themeColor="text1"/>
              </w:rPr>
              <w:t xml:space="preserve">currently available to support providers in </w:t>
            </w:r>
            <w:r w:rsidR="001B5078" w:rsidRPr="00E26F58">
              <w:rPr>
                <w:color w:val="000000" w:themeColor="text1"/>
              </w:rPr>
              <w:t>assessing</w:t>
            </w:r>
            <w:r w:rsidR="001622D1" w:rsidRPr="00E26F58">
              <w:rPr>
                <w:color w:val="000000" w:themeColor="text1"/>
              </w:rPr>
              <w:t xml:space="preserve"> for PEP and AHI to rule out </w:t>
            </w:r>
            <w:r w:rsidR="001B5078" w:rsidRPr="00E26F58">
              <w:rPr>
                <w:color w:val="000000" w:themeColor="text1"/>
              </w:rPr>
              <w:t xml:space="preserve">prior </w:t>
            </w:r>
            <w:r w:rsidR="001622D1" w:rsidRPr="00E26F58">
              <w:rPr>
                <w:color w:val="000000" w:themeColor="text1"/>
              </w:rPr>
              <w:t>HIV acquisition in clients interested in starting or continuing PrEP</w:t>
            </w:r>
            <w:r w:rsidR="001B5078" w:rsidRPr="00E26F58">
              <w:rPr>
                <w:color w:val="000000" w:themeColor="text1"/>
              </w:rPr>
              <w:t>, with separate job aids for oral PrEP, PrEP ring, and CAB PrEP</w:t>
            </w:r>
            <w:r w:rsidR="001622D1" w:rsidRPr="00E26F58">
              <w:rPr>
                <w:color w:val="000000" w:themeColor="text1"/>
              </w:rPr>
              <w:t xml:space="preserve">. Found </w:t>
            </w:r>
            <w:hyperlink r:id="rId30" w:history="1">
              <w:r w:rsidR="001622D1" w:rsidRPr="00E26F58">
                <w:rPr>
                  <w:rStyle w:val="Hyperlink"/>
                </w:rPr>
                <w:t>here</w:t>
              </w:r>
            </w:hyperlink>
            <w:r w:rsidR="001622D1" w:rsidRPr="00E26F58">
              <w:rPr>
                <w:color w:val="000000" w:themeColor="text1"/>
              </w:rPr>
              <w:t xml:space="preserve">, these resources help formalize clinical assessments to complement HIV testing by identifying clients with PEP indication and suspected AHI and </w:t>
            </w:r>
            <w:r w:rsidR="009B14B0">
              <w:rPr>
                <w:color w:val="000000" w:themeColor="text1"/>
              </w:rPr>
              <w:t xml:space="preserve">by </w:t>
            </w:r>
            <w:r w:rsidR="001622D1" w:rsidRPr="00E26F58">
              <w:rPr>
                <w:color w:val="000000" w:themeColor="text1"/>
              </w:rPr>
              <w:t xml:space="preserve">offering clinical management suggestions for new and returning </w:t>
            </w:r>
            <w:r w:rsidR="004B569B" w:rsidRPr="00E26F58">
              <w:rPr>
                <w:color w:val="000000" w:themeColor="text1"/>
              </w:rPr>
              <w:t xml:space="preserve">clients </w:t>
            </w:r>
            <w:r w:rsidR="001622D1" w:rsidRPr="00E26F58">
              <w:rPr>
                <w:color w:val="000000" w:themeColor="text1"/>
              </w:rPr>
              <w:t xml:space="preserve">adherent and non-adherent </w:t>
            </w:r>
            <w:r w:rsidR="004B569B" w:rsidRPr="00E26F58">
              <w:rPr>
                <w:color w:val="000000" w:themeColor="text1"/>
              </w:rPr>
              <w:t>to PrEP, categorized by PrEP method.</w:t>
            </w:r>
            <w:r w:rsidR="001622D1">
              <w:rPr>
                <w:color w:val="000000" w:themeColor="text1"/>
              </w:rPr>
              <w:t xml:space="preserve"> </w:t>
            </w:r>
            <w:r w:rsidR="00123B8C">
              <w:rPr>
                <w:color w:val="000000" w:themeColor="text1"/>
              </w:rPr>
              <w:t xml:space="preserve"> </w:t>
            </w:r>
            <w:r w:rsidR="0023631A">
              <w:rPr>
                <w:color w:val="000000" w:themeColor="text1"/>
              </w:rPr>
              <w:t xml:space="preserve"> </w:t>
            </w:r>
          </w:p>
        </w:tc>
      </w:tr>
    </w:tbl>
    <w:p w14:paraId="41E2BAE8" w14:textId="77777777" w:rsidR="00F63B6A" w:rsidRDefault="00F63B6A" w:rsidP="00DD508F">
      <w:pPr>
        <w:pBdr>
          <w:top w:val="nil"/>
          <w:left w:val="nil"/>
          <w:bottom w:val="nil"/>
          <w:right w:val="nil"/>
          <w:between w:val="nil"/>
        </w:pBdr>
        <w:spacing w:after="120" w:line="240" w:lineRule="auto"/>
        <w:rPr>
          <w:b/>
          <w:color w:val="000000" w:themeColor="text1"/>
          <w:u w:val="single"/>
        </w:rPr>
      </w:pPr>
    </w:p>
    <w:p w14:paraId="14D52B2E" w14:textId="77777777" w:rsidR="00B9030B" w:rsidRDefault="00B9030B">
      <w:pPr>
        <w:rPr>
          <w:b/>
        </w:rPr>
      </w:pPr>
      <w:r>
        <w:rPr>
          <w:b/>
        </w:rPr>
        <w:br w:type="page"/>
      </w:r>
    </w:p>
    <w:p w14:paraId="636A3143" w14:textId="6EF10A0B" w:rsidR="00A243ED" w:rsidRDefault="00A243ED" w:rsidP="00DD508F">
      <w:pPr>
        <w:spacing w:after="120" w:line="240" w:lineRule="auto"/>
        <w:rPr>
          <w:b/>
        </w:rPr>
      </w:pPr>
      <w:r w:rsidRPr="0294A27B">
        <w:rPr>
          <w:b/>
        </w:rPr>
        <w:lastRenderedPageBreak/>
        <w:t>Diagram 1</w:t>
      </w:r>
      <w:r w:rsidR="00101D97" w:rsidRPr="0294A27B">
        <w:rPr>
          <w:b/>
        </w:rPr>
        <w:t>.</w:t>
      </w:r>
      <w:r w:rsidRPr="0294A27B">
        <w:rPr>
          <w:b/>
        </w:rPr>
        <w:t xml:space="preserve"> </w:t>
      </w:r>
      <w:r w:rsidR="00F96C5C" w:rsidRPr="0294A27B">
        <w:rPr>
          <w:b/>
        </w:rPr>
        <w:t xml:space="preserve">PrEP </w:t>
      </w:r>
      <w:r w:rsidR="004F2502">
        <w:rPr>
          <w:b/>
        </w:rPr>
        <w:t>i</w:t>
      </w:r>
      <w:r w:rsidRPr="0294A27B">
        <w:rPr>
          <w:b/>
        </w:rPr>
        <w:t xml:space="preserve">nitiation – HIV </w:t>
      </w:r>
      <w:r w:rsidR="004F2502">
        <w:rPr>
          <w:b/>
        </w:rPr>
        <w:t>e</w:t>
      </w:r>
      <w:r w:rsidRPr="0294A27B">
        <w:rPr>
          <w:b/>
        </w:rPr>
        <w:t xml:space="preserve">xposure and AHI </w:t>
      </w:r>
      <w:r w:rsidR="004F2502">
        <w:rPr>
          <w:b/>
        </w:rPr>
        <w:t>a</w:t>
      </w:r>
      <w:r w:rsidRPr="0294A27B">
        <w:rPr>
          <w:b/>
        </w:rPr>
        <w:t>ssessment</w:t>
      </w:r>
    </w:p>
    <w:p w14:paraId="5EEB0A3B" w14:textId="521F50A4" w:rsidR="00A85D96" w:rsidRDefault="00A85D96" w:rsidP="00A85D96">
      <w:pPr>
        <w:spacing w:after="120" w:line="240" w:lineRule="auto"/>
        <w:jc w:val="center"/>
        <w:rPr>
          <w:b/>
        </w:rPr>
      </w:pPr>
      <w:r>
        <w:rPr>
          <w:b/>
          <w:noProof/>
        </w:rPr>
        <w:drawing>
          <wp:inline distT="0" distB="0" distL="0" distR="0" wp14:anchorId="6BEEFB61" wp14:editId="4C229954">
            <wp:extent cx="5196240" cy="5630545"/>
            <wp:effectExtent l="0" t="0" r="4445" b="8255"/>
            <wp:docPr id="898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9036" cy="5633575"/>
                    </a:xfrm>
                    <a:prstGeom prst="rect">
                      <a:avLst/>
                    </a:prstGeom>
                    <a:noFill/>
                  </pic:spPr>
                </pic:pic>
              </a:graphicData>
            </a:graphic>
          </wp:inline>
        </w:drawing>
      </w:r>
    </w:p>
    <w:p w14:paraId="161EC48C" w14:textId="73E1DB65" w:rsidR="00361B39" w:rsidRDefault="00361B39" w:rsidP="00A804F3">
      <w:pPr>
        <w:spacing w:after="120" w:line="240" w:lineRule="auto"/>
        <w:jc w:val="center"/>
        <w:rPr>
          <w:b/>
        </w:rPr>
      </w:pPr>
    </w:p>
    <w:p w14:paraId="6228C4EA" w14:textId="178150C3" w:rsidR="00C713CF" w:rsidRDefault="00C713CF" w:rsidP="00181AD3">
      <w:pPr>
        <w:spacing w:after="120" w:line="240" w:lineRule="auto"/>
        <w:jc w:val="center"/>
        <w:rPr>
          <w:b/>
        </w:rPr>
      </w:pPr>
    </w:p>
    <w:p w14:paraId="5BB47CFB" w14:textId="47226132" w:rsidR="00202AC4" w:rsidRPr="00181675" w:rsidRDefault="00202AC4" w:rsidP="00202AC4">
      <w:pPr>
        <w:spacing w:after="120"/>
        <w:rPr>
          <w:rFonts w:cstheme="minorHAnsi"/>
          <w:color w:val="000000"/>
          <w:sz w:val="20"/>
          <w:szCs w:val="20"/>
        </w:rPr>
      </w:pPr>
      <w:bookmarkStart w:id="46" w:name="_heading=h.2s8eyo1" w:colFirst="0" w:colLast="0"/>
      <w:bookmarkEnd w:id="46"/>
      <w:r w:rsidRPr="00202AC4">
        <w:rPr>
          <w:rFonts w:eastAsiaTheme="minorEastAsia" w:hAnsi="Calibri"/>
          <w:b/>
          <w:color w:val="000000" w:themeColor="text1"/>
          <w:kern w:val="24"/>
          <w:position w:val="7"/>
          <w:sz w:val="24"/>
          <w:szCs w:val="24"/>
          <w:vertAlign w:val="superscript"/>
        </w:rPr>
        <w:t xml:space="preserve"> </w:t>
      </w:r>
      <w:r w:rsidRPr="00181675">
        <w:rPr>
          <w:rFonts w:cstheme="minorHAnsi"/>
          <w:b/>
          <w:bCs/>
          <w:color w:val="000000"/>
          <w:sz w:val="20"/>
          <w:szCs w:val="20"/>
          <w:vertAlign w:val="superscript"/>
        </w:rPr>
        <w:t>0</w:t>
      </w:r>
      <w:r w:rsidRPr="00181675">
        <w:rPr>
          <w:rFonts w:cstheme="minorHAnsi"/>
          <w:color w:val="000000"/>
          <w:sz w:val="20"/>
          <w:szCs w:val="20"/>
        </w:rPr>
        <w:t xml:space="preserve"> An answer of “NO” to this question means no potential past exposure to HIV at all or potential HIV exposure that was 73+ hours ago.</w:t>
      </w:r>
    </w:p>
    <w:p w14:paraId="362B8845" w14:textId="2A5857D1" w:rsidR="00202AC4" w:rsidRPr="00181675" w:rsidRDefault="00202AC4" w:rsidP="00202AC4">
      <w:pPr>
        <w:spacing w:after="120" w:line="240" w:lineRule="auto"/>
        <w:rPr>
          <w:rFonts w:cstheme="minorHAnsi"/>
          <w:color w:val="000000"/>
          <w:sz w:val="20"/>
          <w:szCs w:val="20"/>
        </w:rPr>
      </w:pPr>
      <w:r w:rsidRPr="00181675">
        <w:rPr>
          <w:rFonts w:cstheme="minorHAnsi"/>
          <w:color w:val="000000"/>
          <w:sz w:val="20"/>
          <w:szCs w:val="20"/>
          <w:vertAlign w:val="superscript"/>
        </w:rPr>
        <w:t xml:space="preserve">1 </w:t>
      </w:r>
      <w:r w:rsidR="006A70E0">
        <w:rPr>
          <w:rFonts w:cstheme="minorHAnsi"/>
          <w:color w:val="000000"/>
          <w:sz w:val="20"/>
          <w:szCs w:val="20"/>
        </w:rPr>
        <w:t>Two-thirds</w:t>
      </w:r>
      <w:r w:rsidRPr="00181675">
        <w:rPr>
          <w:rFonts w:cstheme="minorHAnsi"/>
          <w:color w:val="000000"/>
          <w:sz w:val="20"/>
          <w:szCs w:val="20"/>
        </w:rPr>
        <w:t xml:space="preserve"> of people will have symptoms of AHI within </w:t>
      </w:r>
      <w:r w:rsidR="007C70B0">
        <w:rPr>
          <w:rFonts w:cstheme="minorHAnsi"/>
          <w:color w:val="000000"/>
          <w:sz w:val="20"/>
          <w:szCs w:val="20"/>
        </w:rPr>
        <w:t>two to four</w:t>
      </w:r>
      <w:r w:rsidRPr="00181675">
        <w:rPr>
          <w:rFonts w:cstheme="minorHAnsi"/>
          <w:color w:val="000000"/>
          <w:sz w:val="20"/>
          <w:szCs w:val="20"/>
        </w:rPr>
        <w:t xml:space="preserve"> weeks of HIV acquisition (</w:t>
      </w:r>
      <w:hyperlink r:id="rId32" w:history="1">
        <w:r w:rsidRPr="00181675">
          <w:rPr>
            <w:rStyle w:val="Hyperlink"/>
            <w:rFonts w:cstheme="minorHAnsi"/>
            <w:sz w:val="20"/>
            <w:szCs w:val="20"/>
          </w:rPr>
          <w:t>Letizia et al. 2022</w:t>
        </w:r>
      </w:hyperlink>
      <w:r w:rsidRPr="00181675">
        <w:rPr>
          <w:rFonts w:cstheme="minorHAnsi"/>
          <w:color w:val="000000"/>
          <w:sz w:val="20"/>
          <w:szCs w:val="20"/>
        </w:rPr>
        <w:t xml:space="preserve">). Signs/symptoms mimicking acute HIV infection (sore throat, fever, sweats, swollen glands, mouth ulcers, headache, rash, </w:t>
      </w:r>
      <w:r w:rsidR="00D4589C">
        <w:rPr>
          <w:rFonts w:cstheme="minorHAnsi"/>
          <w:color w:val="000000"/>
          <w:sz w:val="20"/>
          <w:szCs w:val="20"/>
        </w:rPr>
        <w:t xml:space="preserve">and </w:t>
      </w:r>
      <w:r w:rsidRPr="00181675">
        <w:rPr>
          <w:rFonts w:cstheme="minorHAnsi"/>
          <w:color w:val="000000"/>
          <w:sz w:val="20"/>
          <w:szCs w:val="20"/>
        </w:rPr>
        <w:t xml:space="preserve">muscle aches) are commonly due to illnesses other than HIV; providers need to use discretion in determining whether the symptomatology is consistent with HIV or may be explained by an alternative cause. </w:t>
      </w:r>
    </w:p>
    <w:p w14:paraId="58EE98EC" w14:textId="7C40031A" w:rsidR="0072409C" w:rsidRDefault="00202AC4" w:rsidP="00205482">
      <w:pPr>
        <w:spacing w:after="120" w:line="240" w:lineRule="auto"/>
        <w:rPr>
          <w:rFonts w:cstheme="minorHAnsi"/>
          <w:color w:val="000000"/>
          <w:sz w:val="20"/>
          <w:szCs w:val="20"/>
        </w:rPr>
      </w:pPr>
      <w:r w:rsidRPr="00181675">
        <w:rPr>
          <w:rFonts w:cstheme="minorHAnsi"/>
          <w:color w:val="000000"/>
          <w:sz w:val="20"/>
          <w:szCs w:val="20"/>
          <w:vertAlign w:val="superscript"/>
        </w:rPr>
        <w:t xml:space="preserve">2 </w:t>
      </w:r>
      <w:r w:rsidR="000C5359">
        <w:rPr>
          <w:rFonts w:cstheme="minorHAnsi"/>
          <w:color w:val="000000"/>
          <w:sz w:val="20"/>
          <w:szCs w:val="20"/>
        </w:rPr>
        <w:t>T</w:t>
      </w:r>
      <w:r w:rsidRPr="00181675">
        <w:rPr>
          <w:rFonts w:cstheme="minorHAnsi"/>
          <w:color w:val="000000"/>
          <w:sz w:val="20"/>
          <w:szCs w:val="20"/>
        </w:rPr>
        <w:t>o make</w:t>
      </w:r>
      <w:r w:rsidR="000C5359">
        <w:rPr>
          <w:rFonts w:cstheme="minorHAnsi"/>
          <w:color w:val="000000"/>
          <w:sz w:val="20"/>
          <w:szCs w:val="20"/>
        </w:rPr>
        <w:t xml:space="preserve"> an</w:t>
      </w:r>
      <w:r w:rsidRPr="00181675">
        <w:rPr>
          <w:rFonts w:cstheme="minorHAnsi"/>
          <w:color w:val="000000"/>
          <w:sz w:val="20"/>
          <w:szCs w:val="20"/>
        </w:rPr>
        <w:t xml:space="preserve"> informed choice prior to starting PrEP, the client should be aware that available HIV testing may not have been able to detect HIV if the client acquired HIV fewer than 28 days ago, and there is a possibility the HIV test may not have detected HIV if acquired beyond 28 days ago. The client should also be aware that </w:t>
      </w:r>
      <w:r w:rsidR="00401978">
        <w:rPr>
          <w:rFonts w:cstheme="minorHAnsi"/>
          <w:color w:val="000000"/>
          <w:sz w:val="20"/>
          <w:szCs w:val="20"/>
        </w:rPr>
        <w:t>although</w:t>
      </w:r>
      <w:r w:rsidR="00401978" w:rsidRPr="00181675">
        <w:rPr>
          <w:rFonts w:cstheme="minorHAnsi"/>
          <w:color w:val="000000"/>
          <w:sz w:val="20"/>
          <w:szCs w:val="20"/>
        </w:rPr>
        <w:t xml:space="preserve"> </w:t>
      </w:r>
      <w:r w:rsidRPr="00181675">
        <w:rPr>
          <w:rFonts w:cstheme="minorHAnsi"/>
          <w:color w:val="000000"/>
          <w:sz w:val="20"/>
          <w:szCs w:val="20"/>
        </w:rPr>
        <w:t xml:space="preserve">they do not have symptoms of AHI, they could be pre-symptomatic or be part of </w:t>
      </w:r>
      <w:r w:rsidR="006A70E0">
        <w:rPr>
          <w:rFonts w:cstheme="minorHAnsi"/>
          <w:color w:val="000000"/>
          <w:sz w:val="20"/>
          <w:szCs w:val="20"/>
        </w:rPr>
        <w:t>the one-third</w:t>
      </w:r>
      <w:r w:rsidRPr="00181675">
        <w:rPr>
          <w:rFonts w:cstheme="minorHAnsi"/>
          <w:color w:val="000000"/>
          <w:sz w:val="20"/>
          <w:szCs w:val="20"/>
        </w:rPr>
        <w:t xml:space="preserve"> of individuals who do not develop symptoms of AHI</w:t>
      </w:r>
      <w:r w:rsidR="00677E3B">
        <w:rPr>
          <w:rFonts w:cstheme="minorHAnsi"/>
          <w:color w:val="000000"/>
          <w:sz w:val="20"/>
          <w:szCs w:val="20"/>
        </w:rPr>
        <w:t xml:space="preserve"> within </w:t>
      </w:r>
      <w:r w:rsidR="00401978">
        <w:rPr>
          <w:rFonts w:cstheme="minorHAnsi"/>
          <w:color w:val="000000"/>
          <w:sz w:val="20"/>
          <w:szCs w:val="20"/>
        </w:rPr>
        <w:t>two to four</w:t>
      </w:r>
      <w:r w:rsidR="00677E3B">
        <w:rPr>
          <w:rFonts w:cstheme="minorHAnsi"/>
          <w:color w:val="000000"/>
          <w:sz w:val="20"/>
          <w:szCs w:val="20"/>
        </w:rPr>
        <w:t xml:space="preserve"> weeks</w:t>
      </w:r>
      <w:r w:rsidR="00C51CF1">
        <w:rPr>
          <w:rFonts w:cstheme="minorHAnsi"/>
          <w:color w:val="000000"/>
          <w:sz w:val="20"/>
          <w:szCs w:val="20"/>
        </w:rPr>
        <w:t xml:space="preserve"> of</w:t>
      </w:r>
      <w:r w:rsidR="006A70E0">
        <w:rPr>
          <w:rFonts w:cstheme="minorHAnsi"/>
          <w:color w:val="000000"/>
          <w:sz w:val="20"/>
          <w:szCs w:val="20"/>
        </w:rPr>
        <w:t xml:space="preserve"> acquiring HIV</w:t>
      </w:r>
      <w:r w:rsidRPr="00181675">
        <w:rPr>
          <w:rFonts w:cstheme="minorHAnsi"/>
          <w:color w:val="000000"/>
          <w:sz w:val="20"/>
          <w:szCs w:val="20"/>
        </w:rPr>
        <w:t>.</w:t>
      </w:r>
    </w:p>
    <w:p w14:paraId="2E3DDF93" w14:textId="001C39EB" w:rsidR="00592E7A" w:rsidRDefault="00C543F9" w:rsidP="00205482">
      <w:pPr>
        <w:spacing w:after="120" w:line="240" w:lineRule="auto"/>
        <w:rPr>
          <w:b/>
          <w:color w:val="000000" w:themeColor="text1"/>
          <w:u w:val="single"/>
        </w:rPr>
      </w:pPr>
      <w:r w:rsidRPr="00A858F7">
        <w:rPr>
          <w:rFonts w:cstheme="minorHAnsi"/>
          <w:color w:val="000000"/>
          <w:sz w:val="20"/>
          <w:szCs w:val="20"/>
          <w:vertAlign w:val="superscript"/>
        </w:rPr>
        <w:t xml:space="preserve">3 </w:t>
      </w:r>
      <w:r w:rsidR="00667A2A" w:rsidRPr="00A858F7">
        <w:rPr>
          <w:rFonts w:cstheme="minorHAnsi"/>
          <w:color w:val="000000"/>
          <w:sz w:val="20"/>
          <w:szCs w:val="20"/>
        </w:rPr>
        <w:t xml:space="preserve">Possible </w:t>
      </w:r>
      <w:r w:rsidR="00592E7A" w:rsidRPr="00A858F7">
        <w:rPr>
          <w:rFonts w:cstheme="minorHAnsi"/>
          <w:color w:val="000000"/>
          <w:sz w:val="20"/>
          <w:szCs w:val="20"/>
        </w:rPr>
        <w:t>AHI is not a contraindication for PrEP ring use.</w:t>
      </w:r>
      <w:r w:rsidR="0031537C" w:rsidRPr="00A858F7">
        <w:rPr>
          <w:rFonts w:cstheme="minorHAnsi"/>
          <w:color w:val="000000"/>
          <w:sz w:val="20"/>
          <w:szCs w:val="20"/>
        </w:rPr>
        <w:t xml:space="preserve"> If AHI is suspected, strongly encourage the person to return in </w:t>
      </w:r>
      <w:r w:rsidR="00401978">
        <w:rPr>
          <w:rFonts w:cstheme="minorHAnsi"/>
          <w:color w:val="000000"/>
          <w:sz w:val="20"/>
          <w:szCs w:val="20"/>
        </w:rPr>
        <w:t>four to six</w:t>
      </w:r>
      <w:r w:rsidR="0031537C" w:rsidRPr="00A858F7">
        <w:rPr>
          <w:rFonts w:cstheme="minorHAnsi"/>
          <w:color w:val="000000"/>
          <w:sz w:val="20"/>
          <w:szCs w:val="20"/>
        </w:rPr>
        <w:t xml:space="preserve"> weeks for retesting and not wait </w:t>
      </w:r>
      <w:r w:rsidR="00E532B0">
        <w:rPr>
          <w:rFonts w:cstheme="minorHAnsi"/>
          <w:color w:val="000000"/>
          <w:sz w:val="20"/>
          <w:szCs w:val="20"/>
        </w:rPr>
        <w:t>f</w:t>
      </w:r>
      <w:r w:rsidR="0031537C" w:rsidRPr="00A858F7">
        <w:rPr>
          <w:rFonts w:cstheme="minorHAnsi"/>
          <w:color w:val="000000"/>
          <w:sz w:val="20"/>
          <w:szCs w:val="20"/>
        </w:rPr>
        <w:t xml:space="preserve">or </w:t>
      </w:r>
      <w:r w:rsidR="00E532B0">
        <w:rPr>
          <w:rFonts w:cstheme="minorHAnsi"/>
          <w:color w:val="000000"/>
          <w:sz w:val="20"/>
          <w:szCs w:val="20"/>
        </w:rPr>
        <w:t>three</w:t>
      </w:r>
      <w:r w:rsidR="0031537C" w:rsidRPr="00A858F7">
        <w:rPr>
          <w:rFonts w:cstheme="minorHAnsi"/>
          <w:color w:val="000000"/>
          <w:sz w:val="20"/>
          <w:szCs w:val="20"/>
        </w:rPr>
        <w:t xml:space="preserve"> months</w:t>
      </w:r>
      <w:r w:rsidR="00BE57E4">
        <w:rPr>
          <w:rFonts w:cstheme="minorHAnsi"/>
          <w:color w:val="000000"/>
          <w:sz w:val="20"/>
          <w:szCs w:val="20"/>
        </w:rPr>
        <w:t>.</w:t>
      </w:r>
    </w:p>
    <w:p w14:paraId="3CB43B0D" w14:textId="2329DFCC" w:rsidR="00CE3BE4" w:rsidRPr="00606B35" w:rsidRDefault="007C3730" w:rsidP="00B25741">
      <w:pPr>
        <w:rPr>
          <w:b/>
          <w:color w:val="000000"/>
          <w:u w:val="single"/>
        </w:rPr>
      </w:pPr>
      <w:r>
        <w:rPr>
          <w:b/>
          <w:color w:val="000000" w:themeColor="text1"/>
          <w:u w:val="single"/>
        </w:rPr>
        <w:br w:type="page"/>
      </w:r>
      <w:r w:rsidR="00CE3BE4" w:rsidRPr="0294A27B">
        <w:rPr>
          <w:b/>
          <w:color w:val="000000" w:themeColor="text1"/>
          <w:u w:val="single"/>
        </w:rPr>
        <w:lastRenderedPageBreak/>
        <w:t xml:space="preserve">Assess Client’s Request for PrEP or </w:t>
      </w:r>
      <w:r w:rsidR="3416D86B" w:rsidRPr="38CBC45C">
        <w:rPr>
          <w:b/>
          <w:bCs/>
          <w:color w:val="000000" w:themeColor="text1"/>
          <w:u w:val="single"/>
        </w:rPr>
        <w:t xml:space="preserve">if Client </w:t>
      </w:r>
      <w:r w:rsidR="0AFF8787" w:rsidRPr="38CBC45C">
        <w:rPr>
          <w:b/>
          <w:bCs/>
          <w:color w:val="000000" w:themeColor="text1"/>
          <w:u w:val="single"/>
        </w:rPr>
        <w:t xml:space="preserve">May </w:t>
      </w:r>
      <w:r w:rsidR="3416D86B" w:rsidRPr="38CBC45C">
        <w:rPr>
          <w:b/>
          <w:bCs/>
          <w:color w:val="000000" w:themeColor="text1"/>
          <w:u w:val="single"/>
        </w:rPr>
        <w:t xml:space="preserve">Benefit from </w:t>
      </w:r>
      <w:r w:rsidR="00CE3BE4" w:rsidRPr="0294A27B">
        <w:rPr>
          <w:b/>
          <w:color w:val="000000" w:themeColor="text1"/>
          <w:u w:val="single"/>
        </w:rPr>
        <w:t xml:space="preserve">PrEP </w:t>
      </w:r>
    </w:p>
    <w:p w14:paraId="46D72E3D" w14:textId="1A792727" w:rsidR="201D5C4B" w:rsidRDefault="00CE3BE4" w:rsidP="201D5C4B">
      <w:pPr>
        <w:pStyle w:val="ListParagraph"/>
        <w:numPr>
          <w:ilvl w:val="0"/>
          <w:numId w:val="2"/>
        </w:numPr>
        <w:spacing w:after="120" w:line="240" w:lineRule="auto"/>
        <w:rPr>
          <w:i/>
          <w:iCs/>
          <w:color w:val="000000" w:themeColor="text1"/>
          <w:u w:val="single"/>
        </w:rPr>
      </w:pPr>
      <w:r w:rsidRPr="62174829">
        <w:rPr>
          <w:b/>
          <w:color w:val="000000" w:themeColor="text1"/>
        </w:rPr>
        <w:t>Client Request:</w:t>
      </w:r>
      <w:r w:rsidRPr="62174829">
        <w:rPr>
          <w:color w:val="000000" w:themeColor="text1"/>
        </w:rPr>
        <w:t xml:space="preserve"> Clients who request PrEP should be counseled on </w:t>
      </w:r>
      <w:r w:rsidRPr="00BA309F">
        <w:rPr>
          <w:color w:val="000000" w:themeColor="text1"/>
        </w:rPr>
        <w:t xml:space="preserve">and offered PrEP if </w:t>
      </w:r>
      <w:r w:rsidR="00910735" w:rsidRPr="00BA309F">
        <w:rPr>
          <w:color w:val="000000" w:themeColor="text1"/>
        </w:rPr>
        <w:t>HIV has been ruled out to the extent possible by HIV testing and assessment</w:t>
      </w:r>
      <w:r w:rsidR="00F24592" w:rsidRPr="00BA309F">
        <w:rPr>
          <w:color w:val="000000" w:themeColor="text1"/>
        </w:rPr>
        <w:t>s for PEP and AHI</w:t>
      </w:r>
      <w:r w:rsidR="00910735" w:rsidRPr="00BA309F">
        <w:rPr>
          <w:color w:val="000000" w:themeColor="text1"/>
        </w:rPr>
        <w:t xml:space="preserve">, </w:t>
      </w:r>
      <w:r w:rsidR="256C8651" w:rsidRPr="00BA309F">
        <w:rPr>
          <w:color w:val="000000" w:themeColor="text1"/>
        </w:rPr>
        <w:t xml:space="preserve">and </w:t>
      </w:r>
      <w:r w:rsidR="00660978" w:rsidRPr="00BA309F">
        <w:rPr>
          <w:color w:val="000000" w:themeColor="text1"/>
        </w:rPr>
        <w:t xml:space="preserve">they are </w:t>
      </w:r>
      <w:r w:rsidR="256C8651" w:rsidRPr="00BA309F">
        <w:rPr>
          <w:color w:val="000000" w:themeColor="text1"/>
        </w:rPr>
        <w:t xml:space="preserve">free from contraindications for </w:t>
      </w:r>
      <w:r w:rsidR="00BC0A18" w:rsidRPr="00BA309F">
        <w:rPr>
          <w:color w:val="000000" w:themeColor="text1"/>
        </w:rPr>
        <w:t xml:space="preserve">the </w:t>
      </w:r>
      <w:r w:rsidR="256C8651" w:rsidRPr="00BA309F">
        <w:rPr>
          <w:color w:val="000000" w:themeColor="text1"/>
        </w:rPr>
        <w:t>use of their chosen PrEP method</w:t>
      </w:r>
      <w:r w:rsidR="0099031F" w:rsidRPr="00BA309F">
        <w:rPr>
          <w:color w:val="000000" w:themeColor="text1"/>
        </w:rPr>
        <w:t>. Client</w:t>
      </w:r>
      <w:r w:rsidR="00FD2F7B" w:rsidRPr="00BA309F">
        <w:rPr>
          <w:color w:val="000000" w:themeColor="text1"/>
        </w:rPr>
        <w:t>s</w:t>
      </w:r>
      <w:r w:rsidR="0099031F" w:rsidRPr="00BA309F">
        <w:rPr>
          <w:color w:val="000000" w:themeColor="text1"/>
        </w:rPr>
        <w:t xml:space="preserve"> should not</w:t>
      </w:r>
      <w:r w:rsidR="00136BFD" w:rsidRPr="00BA309F">
        <w:rPr>
          <w:color w:val="000000" w:themeColor="text1"/>
        </w:rPr>
        <w:t xml:space="preserve"> hav</w:t>
      </w:r>
      <w:r w:rsidR="0099031F" w:rsidRPr="00BA309F">
        <w:rPr>
          <w:color w:val="000000" w:themeColor="text1"/>
        </w:rPr>
        <w:t>e</w:t>
      </w:r>
      <w:r w:rsidR="00136BFD" w:rsidRPr="00BA309F">
        <w:rPr>
          <w:color w:val="000000" w:themeColor="text1"/>
        </w:rPr>
        <w:t xml:space="preserve"> to qualify</w:t>
      </w:r>
      <w:r w:rsidR="00136BFD" w:rsidRPr="62174829">
        <w:rPr>
          <w:color w:val="000000" w:themeColor="text1"/>
        </w:rPr>
        <w:t xml:space="preserve"> or explain their request in detail.</w:t>
      </w:r>
      <w:r w:rsidRPr="62174829">
        <w:rPr>
          <w:color w:val="000000" w:themeColor="text1"/>
        </w:rPr>
        <w:t xml:space="preserve"> </w:t>
      </w:r>
      <w:r w:rsidRPr="62174829">
        <w:rPr>
          <w:i/>
          <w:color w:val="000000" w:themeColor="text1"/>
        </w:rPr>
        <w:t>Requesting PrEP has been shown to be an indicator of client need for PrEP.</w:t>
      </w:r>
    </w:p>
    <w:p w14:paraId="215F5428" w14:textId="133C8C5D" w:rsidR="00CE3BE4" w:rsidRPr="00606B35" w:rsidRDefault="78D37C42" w:rsidP="00B25741">
      <w:pPr>
        <w:numPr>
          <w:ilvl w:val="0"/>
          <w:numId w:val="2"/>
        </w:numPr>
        <w:pBdr>
          <w:top w:val="nil"/>
          <w:left w:val="nil"/>
          <w:bottom w:val="nil"/>
          <w:right w:val="nil"/>
          <w:between w:val="nil"/>
        </w:pBdr>
        <w:spacing w:after="120" w:line="240" w:lineRule="auto"/>
        <w:rPr>
          <w:color w:val="000000"/>
        </w:rPr>
      </w:pPr>
      <w:r w:rsidRPr="38CBC45C">
        <w:rPr>
          <w:b/>
          <w:bCs/>
          <w:color w:val="000000" w:themeColor="text1"/>
        </w:rPr>
        <w:t xml:space="preserve">Clients Who May Benefit from </w:t>
      </w:r>
      <w:r w:rsidR="0C96AB49" w:rsidRPr="38CBC45C">
        <w:rPr>
          <w:b/>
          <w:bCs/>
          <w:color w:val="000000" w:themeColor="text1"/>
        </w:rPr>
        <w:t>PrEP</w:t>
      </w:r>
      <w:r w:rsidR="0C96AB49" w:rsidRPr="56D00486">
        <w:rPr>
          <w:b/>
          <w:bCs/>
          <w:color w:val="000000" w:themeColor="text1"/>
        </w:rPr>
        <w:t>:</w:t>
      </w:r>
      <w:r w:rsidR="0C96AB49" w:rsidRPr="56D00486">
        <w:rPr>
          <w:color w:val="000000" w:themeColor="text1"/>
        </w:rPr>
        <w:t xml:space="preserve"> </w:t>
      </w:r>
      <w:r w:rsidR="117BD7AD" w:rsidRPr="56D00486">
        <w:rPr>
          <w:color w:val="000000" w:themeColor="text1"/>
        </w:rPr>
        <w:t xml:space="preserve"> </w:t>
      </w:r>
      <w:r w:rsidR="0F49FAF1" w:rsidRPr="38CBC45C">
        <w:rPr>
          <w:color w:val="000000" w:themeColor="text1"/>
        </w:rPr>
        <w:t xml:space="preserve">When </w:t>
      </w:r>
      <w:r w:rsidR="00B227E2">
        <w:rPr>
          <w:color w:val="000000" w:themeColor="text1"/>
        </w:rPr>
        <w:t>a</w:t>
      </w:r>
      <w:r w:rsidR="117BD7AD" w:rsidRPr="56D00486">
        <w:rPr>
          <w:color w:val="000000" w:themeColor="text1"/>
        </w:rPr>
        <w:t xml:space="preserve"> client is</w:t>
      </w:r>
      <w:r w:rsidR="0B161429" w:rsidRPr="56D00486">
        <w:rPr>
          <w:color w:val="000000" w:themeColor="text1"/>
        </w:rPr>
        <w:t xml:space="preserve"> not</w:t>
      </w:r>
      <w:r w:rsidR="117BD7AD" w:rsidRPr="56D00486">
        <w:rPr>
          <w:color w:val="000000" w:themeColor="text1"/>
        </w:rPr>
        <w:t xml:space="preserve"> asking for PrEP, the provider may need to initiate a conversation about </w:t>
      </w:r>
      <w:r w:rsidR="2CAAB70F" w:rsidRPr="38CBC45C">
        <w:rPr>
          <w:color w:val="000000" w:themeColor="text1"/>
        </w:rPr>
        <w:t>what behaviors may indicate that a client may benefit from</w:t>
      </w:r>
      <w:r w:rsidR="117BD7AD" w:rsidRPr="56D00486">
        <w:rPr>
          <w:color w:val="000000" w:themeColor="text1"/>
        </w:rPr>
        <w:t xml:space="preserve"> PrEP</w:t>
      </w:r>
      <w:r w:rsidR="036FC8F5" w:rsidRPr="38CBC45C">
        <w:rPr>
          <w:color w:val="000000" w:themeColor="text1"/>
        </w:rPr>
        <w:t>.</w:t>
      </w:r>
      <w:r w:rsidR="117BD7AD" w:rsidRPr="56D00486">
        <w:rPr>
          <w:color w:val="000000" w:themeColor="text1"/>
        </w:rPr>
        <w:t xml:space="preserve"> </w:t>
      </w:r>
      <w:r w:rsidR="008369F9" w:rsidRPr="38CBC45C">
        <w:rPr>
          <w:color w:val="000000" w:themeColor="text1"/>
        </w:rPr>
        <w:t xml:space="preserve">Any tool used in PrEP </w:t>
      </w:r>
      <w:r w:rsidR="00440AA0" w:rsidRPr="38CBC45C">
        <w:rPr>
          <w:color w:val="000000" w:themeColor="text1"/>
        </w:rPr>
        <w:t>initiation</w:t>
      </w:r>
      <w:r w:rsidR="008369F9" w:rsidRPr="38CBC45C">
        <w:rPr>
          <w:color w:val="000000" w:themeColor="text1"/>
        </w:rPr>
        <w:t xml:space="preserve"> an</w:t>
      </w:r>
      <w:r w:rsidR="00440AA0" w:rsidRPr="38CBC45C">
        <w:rPr>
          <w:color w:val="000000" w:themeColor="text1"/>
        </w:rPr>
        <w:t>d</w:t>
      </w:r>
      <w:r w:rsidR="008369F9" w:rsidRPr="38CBC45C">
        <w:rPr>
          <w:color w:val="000000" w:themeColor="text1"/>
        </w:rPr>
        <w:t xml:space="preserve"> </w:t>
      </w:r>
      <w:r w:rsidR="00440AA0" w:rsidRPr="38CBC45C">
        <w:rPr>
          <w:color w:val="000000" w:themeColor="text1"/>
        </w:rPr>
        <w:t>continuation</w:t>
      </w:r>
      <w:r w:rsidR="008369F9" w:rsidRPr="38CBC45C">
        <w:rPr>
          <w:color w:val="000000" w:themeColor="text1"/>
        </w:rPr>
        <w:t xml:space="preserve"> counseling should support clients to understand their </w:t>
      </w:r>
      <w:r w:rsidR="006812C4" w:rsidRPr="38CBC45C">
        <w:rPr>
          <w:color w:val="000000" w:themeColor="text1"/>
        </w:rPr>
        <w:t>likelihood of exposure to</w:t>
      </w:r>
      <w:r w:rsidR="00033CD5" w:rsidRPr="38CBC45C">
        <w:rPr>
          <w:color w:val="000000" w:themeColor="text1"/>
        </w:rPr>
        <w:t xml:space="preserve"> HIV</w:t>
      </w:r>
      <w:r w:rsidR="00C0784C">
        <w:rPr>
          <w:color w:val="000000" w:themeColor="text1"/>
        </w:rPr>
        <w:t>;</w:t>
      </w:r>
      <w:r w:rsidR="00033CD5" w:rsidRPr="38CBC45C">
        <w:rPr>
          <w:color w:val="000000" w:themeColor="text1"/>
        </w:rPr>
        <w:t xml:space="preserve"> prompt discussion of available PrEP methods or other </w:t>
      </w:r>
      <w:r w:rsidR="00F5264A">
        <w:rPr>
          <w:color w:val="000000" w:themeColor="text1"/>
        </w:rPr>
        <w:t xml:space="preserve">HIV </w:t>
      </w:r>
      <w:r w:rsidR="00033CD5" w:rsidRPr="38CBC45C">
        <w:rPr>
          <w:color w:val="000000" w:themeColor="text1"/>
        </w:rPr>
        <w:t>prevention strategies</w:t>
      </w:r>
      <w:r w:rsidR="00C0784C">
        <w:rPr>
          <w:color w:val="000000" w:themeColor="text1"/>
        </w:rPr>
        <w:t>;</w:t>
      </w:r>
      <w:r w:rsidR="00033CD5" w:rsidRPr="38CBC45C">
        <w:rPr>
          <w:color w:val="000000" w:themeColor="text1"/>
        </w:rPr>
        <w:t xml:space="preserve"> and support decision-making.</w:t>
      </w:r>
      <w:r w:rsidR="0C96AB49" w:rsidRPr="38CBC45C">
        <w:rPr>
          <w:color w:val="000000" w:themeColor="text1"/>
        </w:rPr>
        <w:t xml:space="preserve"> </w:t>
      </w:r>
      <w:r w:rsidR="35CBB380" w:rsidRPr="38CBC45C">
        <w:rPr>
          <w:color w:val="000000" w:themeColor="text1"/>
        </w:rPr>
        <w:t xml:space="preserve">These tools should not be used to ration PrEP or to determine a client’s eligibility and </w:t>
      </w:r>
      <w:r w:rsidR="00DF435B">
        <w:rPr>
          <w:color w:val="000000" w:themeColor="text1"/>
        </w:rPr>
        <w:t xml:space="preserve">they </w:t>
      </w:r>
      <w:r w:rsidR="35CBB380" w:rsidRPr="38CBC45C">
        <w:rPr>
          <w:color w:val="000000" w:themeColor="text1"/>
        </w:rPr>
        <w:t>are not required.</w:t>
      </w:r>
      <w:r w:rsidR="007E7C56">
        <w:rPr>
          <w:color w:val="000000" w:themeColor="text1"/>
        </w:rPr>
        <w:t xml:space="preserve"> </w:t>
      </w:r>
      <w:r w:rsidR="3EF22863" w:rsidRPr="56D00486">
        <w:rPr>
          <w:color w:val="000000" w:themeColor="text1"/>
        </w:rPr>
        <w:t>E</w:t>
      </w:r>
      <w:r w:rsidR="3EF22863">
        <w:t xml:space="preserve">pidemiological measures such as population-level HIV incidence may guide programmatic targeting but should not be used as criteria </w:t>
      </w:r>
      <w:r w:rsidR="0F551C61">
        <w:t>for PrEP access</w:t>
      </w:r>
      <w:r w:rsidR="3EF22863">
        <w:t>.</w:t>
      </w:r>
      <w:r w:rsidR="006723C1">
        <w:rPr>
          <w:color w:val="000000" w:themeColor="text1"/>
        </w:rPr>
        <w:t xml:space="preserve"> </w:t>
      </w:r>
      <w:r w:rsidR="00CE3BE4" w:rsidRPr="0294A27B">
        <w:rPr>
          <w:color w:val="000000" w:themeColor="text1"/>
        </w:rPr>
        <w:t xml:space="preserve">Clients who report any of the following </w:t>
      </w:r>
      <w:r w:rsidR="00D857D4">
        <w:rPr>
          <w:color w:val="000000" w:themeColor="text1"/>
        </w:rPr>
        <w:t>may</w:t>
      </w:r>
      <w:r w:rsidR="00A25D62" w:rsidRPr="0294A27B">
        <w:rPr>
          <w:color w:val="000000" w:themeColor="text1"/>
        </w:rPr>
        <w:t xml:space="preserve"> benefit from </w:t>
      </w:r>
      <w:r w:rsidR="2FE94F3E" w:rsidRPr="38CBC45C">
        <w:rPr>
          <w:color w:val="000000" w:themeColor="text1"/>
        </w:rPr>
        <w:t xml:space="preserve">using </w:t>
      </w:r>
      <w:r w:rsidR="00A25D62" w:rsidRPr="0294A27B">
        <w:rPr>
          <w:color w:val="000000" w:themeColor="text1"/>
        </w:rPr>
        <w:t>PrEP</w:t>
      </w:r>
      <w:r w:rsidR="00CE3BE4" w:rsidRPr="0294A27B">
        <w:rPr>
          <w:color w:val="000000" w:themeColor="text1"/>
        </w:rPr>
        <w:t>:</w:t>
      </w:r>
    </w:p>
    <w:p w14:paraId="612C3807" w14:textId="14E1984A" w:rsidR="00CE3BE4" w:rsidRPr="00606B35" w:rsidRDefault="00D857D4" w:rsidP="00B25741">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rPr>
        <w:t>V</w:t>
      </w:r>
      <w:r w:rsidR="00CE3BE4" w:rsidRPr="00606B35">
        <w:rPr>
          <w:rFonts w:cstheme="minorHAnsi"/>
          <w:color w:val="000000"/>
        </w:rPr>
        <w:t>aginal or anal sex without condoms with: </w:t>
      </w:r>
    </w:p>
    <w:p w14:paraId="786E58E7" w14:textId="77777777" w:rsidR="00CE3BE4" w:rsidRPr="00606B35"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606B35">
        <w:rPr>
          <w:rFonts w:cstheme="minorHAnsi"/>
          <w:color w:val="000000"/>
        </w:rPr>
        <w:t>more than one partner</w:t>
      </w:r>
    </w:p>
    <w:p w14:paraId="3C55997E" w14:textId="4D882692" w:rsidR="00CE3BE4" w:rsidRPr="00606B35"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 partner with </w:t>
      </w:r>
      <w:r w:rsidR="00C6578B" w:rsidRPr="00606B35">
        <w:rPr>
          <w:rFonts w:cstheme="minorHAnsi"/>
          <w:color w:val="000000"/>
        </w:rPr>
        <w:t xml:space="preserve">potential </w:t>
      </w:r>
      <w:r w:rsidRPr="00606B35">
        <w:rPr>
          <w:rFonts w:cstheme="minorHAnsi"/>
          <w:color w:val="000000"/>
        </w:rPr>
        <w:t xml:space="preserve">HIV </w:t>
      </w:r>
      <w:r w:rsidR="00C6578B" w:rsidRPr="00606B35">
        <w:rPr>
          <w:rFonts w:cstheme="minorHAnsi"/>
          <w:color w:val="000000"/>
        </w:rPr>
        <w:t>exposures</w:t>
      </w:r>
    </w:p>
    <w:p w14:paraId="39C8A95D" w14:textId="6DA00781" w:rsidR="00C6578B" w:rsidRPr="00606B35" w:rsidRDefault="00A14E5A" w:rsidP="00B25741">
      <w:pPr>
        <w:pStyle w:val="ListParagraph"/>
        <w:numPr>
          <w:ilvl w:val="3"/>
          <w:numId w:val="44"/>
        </w:numPr>
        <w:spacing w:after="120" w:line="240" w:lineRule="auto"/>
        <w:rPr>
          <w:color w:val="000000"/>
        </w:rPr>
      </w:pPr>
      <w:r w:rsidRPr="00606B35">
        <w:rPr>
          <w:color w:val="000000" w:themeColor="text1"/>
        </w:rPr>
        <w:t>S</w:t>
      </w:r>
      <w:r w:rsidR="006E78EA" w:rsidRPr="00606B35">
        <w:rPr>
          <w:color w:val="000000" w:themeColor="text1"/>
        </w:rPr>
        <w:t>ome clients</w:t>
      </w:r>
      <w:r w:rsidRPr="00606B35">
        <w:rPr>
          <w:color w:val="000000" w:themeColor="text1"/>
        </w:rPr>
        <w:t>’</w:t>
      </w:r>
      <w:r w:rsidR="006E78EA" w:rsidRPr="00606B35">
        <w:rPr>
          <w:color w:val="000000" w:themeColor="text1"/>
        </w:rPr>
        <w:t xml:space="preserve"> potential exposures to HIV </w:t>
      </w:r>
      <w:r w:rsidR="00BD4299" w:rsidRPr="00606B35">
        <w:rPr>
          <w:color w:val="000000" w:themeColor="text1"/>
        </w:rPr>
        <w:t xml:space="preserve">include being exposed through a partner </w:t>
      </w:r>
      <w:r w:rsidR="007C0DC3" w:rsidRPr="00606B35">
        <w:rPr>
          <w:color w:val="000000" w:themeColor="text1"/>
        </w:rPr>
        <w:t xml:space="preserve">who may </w:t>
      </w:r>
      <w:r w:rsidR="00FA55EC" w:rsidRPr="00606B35">
        <w:rPr>
          <w:color w:val="000000" w:themeColor="text1"/>
        </w:rPr>
        <w:t xml:space="preserve">have </w:t>
      </w:r>
      <w:r w:rsidR="001370CA" w:rsidRPr="00606B35">
        <w:rPr>
          <w:color w:val="000000" w:themeColor="text1"/>
        </w:rPr>
        <w:t>exposure</w:t>
      </w:r>
      <w:r w:rsidR="004754C5" w:rsidRPr="00606B35">
        <w:rPr>
          <w:color w:val="000000" w:themeColor="text1"/>
        </w:rPr>
        <w:t>s</w:t>
      </w:r>
      <w:r w:rsidR="007C0DC3" w:rsidRPr="00606B35">
        <w:rPr>
          <w:color w:val="000000" w:themeColor="text1"/>
        </w:rPr>
        <w:t xml:space="preserve"> to HIV</w:t>
      </w:r>
      <w:r w:rsidR="004754C5" w:rsidRPr="00606B35">
        <w:rPr>
          <w:color w:val="000000" w:themeColor="text1"/>
        </w:rPr>
        <w:t xml:space="preserve"> through sexual or injection practices</w:t>
      </w:r>
      <w:r w:rsidR="007C0DC3" w:rsidRPr="00606B35">
        <w:rPr>
          <w:color w:val="000000" w:themeColor="text1"/>
        </w:rPr>
        <w:t>.</w:t>
      </w:r>
      <w:r w:rsidR="00251174" w:rsidRPr="00606B35">
        <w:rPr>
          <w:color w:val="000000" w:themeColor="text1"/>
        </w:rPr>
        <w:t xml:space="preserve"> </w:t>
      </w:r>
      <w:r w:rsidR="00C6578B" w:rsidRPr="00606B35">
        <w:rPr>
          <w:color w:val="000000" w:themeColor="text1"/>
        </w:rPr>
        <w:t xml:space="preserve">Exploring </w:t>
      </w:r>
      <w:r w:rsidR="001E2FFD" w:rsidRPr="00606B35">
        <w:rPr>
          <w:color w:val="000000" w:themeColor="text1"/>
        </w:rPr>
        <w:t xml:space="preserve">the </w:t>
      </w:r>
      <w:r w:rsidR="00C6578B" w:rsidRPr="00606B35">
        <w:rPr>
          <w:color w:val="000000" w:themeColor="text1"/>
        </w:rPr>
        <w:t>potential HIV exposures of</w:t>
      </w:r>
      <w:r w:rsidR="00DF6911" w:rsidRPr="00606B35">
        <w:rPr>
          <w:color w:val="000000" w:themeColor="text1"/>
        </w:rPr>
        <w:t xml:space="preserve"> </w:t>
      </w:r>
      <w:r w:rsidR="00AB262E" w:rsidRPr="00606B35">
        <w:rPr>
          <w:color w:val="000000" w:themeColor="text1"/>
        </w:rPr>
        <w:t xml:space="preserve">a </w:t>
      </w:r>
      <w:r w:rsidR="00DF6911" w:rsidRPr="00606B35">
        <w:rPr>
          <w:color w:val="000000" w:themeColor="text1"/>
        </w:rPr>
        <w:t>client’s</w:t>
      </w:r>
      <w:r w:rsidR="00C6578B" w:rsidRPr="00606B35">
        <w:rPr>
          <w:color w:val="000000" w:themeColor="text1"/>
        </w:rPr>
        <w:t xml:space="preserve"> </w:t>
      </w:r>
      <w:r w:rsidR="00BB1BA5" w:rsidRPr="00606B35">
        <w:rPr>
          <w:color w:val="000000" w:themeColor="text1"/>
        </w:rPr>
        <w:t xml:space="preserve">sexual </w:t>
      </w:r>
      <w:r w:rsidR="00C6578B" w:rsidRPr="00606B35">
        <w:rPr>
          <w:color w:val="000000" w:themeColor="text1"/>
        </w:rPr>
        <w:t xml:space="preserve">partners with </w:t>
      </w:r>
      <w:r w:rsidR="00CA6A9E" w:rsidRPr="00606B35">
        <w:rPr>
          <w:color w:val="000000" w:themeColor="text1"/>
        </w:rPr>
        <w:t xml:space="preserve">the </w:t>
      </w:r>
      <w:r w:rsidR="00C6578B" w:rsidRPr="00606B35">
        <w:rPr>
          <w:color w:val="000000" w:themeColor="text1"/>
        </w:rPr>
        <w:t xml:space="preserve">client may be particularly important for adolescent girls and young women, </w:t>
      </w:r>
      <w:r w:rsidR="00A746A1" w:rsidRPr="00606B35">
        <w:rPr>
          <w:color w:val="000000" w:themeColor="text1"/>
        </w:rPr>
        <w:t xml:space="preserve">people who </w:t>
      </w:r>
      <w:r w:rsidR="009E5FAD" w:rsidRPr="00606B35">
        <w:rPr>
          <w:color w:val="000000" w:themeColor="text1"/>
        </w:rPr>
        <w:t>have sexual partners who are</w:t>
      </w:r>
      <w:r w:rsidR="00C6578B" w:rsidRPr="00606B35">
        <w:rPr>
          <w:color w:val="000000" w:themeColor="text1"/>
        </w:rPr>
        <w:t xml:space="preserve"> </w:t>
      </w:r>
      <w:r w:rsidR="00A746A1" w:rsidRPr="00606B35">
        <w:rPr>
          <w:color w:val="000000" w:themeColor="text1"/>
        </w:rPr>
        <w:t>members of</w:t>
      </w:r>
      <w:r w:rsidR="00C6578B" w:rsidRPr="00606B35">
        <w:rPr>
          <w:color w:val="000000" w:themeColor="text1"/>
        </w:rPr>
        <w:t xml:space="preserve"> key populations, and </w:t>
      </w:r>
      <w:r w:rsidR="008D7BA2">
        <w:rPr>
          <w:color w:val="000000" w:themeColor="text1"/>
        </w:rPr>
        <w:t>pregnant and breastfeeding people</w:t>
      </w:r>
      <w:r w:rsidR="00C6578B" w:rsidRPr="00606B35">
        <w:rPr>
          <w:color w:val="000000" w:themeColor="text1"/>
        </w:rPr>
        <w:t>.</w:t>
      </w:r>
    </w:p>
    <w:p w14:paraId="3AEE4F1D" w14:textId="66A4BDE0" w:rsidR="00CE3BE4" w:rsidRPr="00606B35" w:rsidRDefault="00CE3BE4" w:rsidP="00B25741">
      <w:pPr>
        <w:numPr>
          <w:ilvl w:val="3"/>
          <w:numId w:val="44"/>
        </w:numPr>
        <w:pBdr>
          <w:top w:val="nil"/>
          <w:left w:val="nil"/>
          <w:bottom w:val="nil"/>
          <w:right w:val="nil"/>
          <w:between w:val="nil"/>
        </w:pBdr>
        <w:spacing w:after="120" w:line="240" w:lineRule="auto"/>
        <w:rPr>
          <w:rFonts w:cstheme="minorHAnsi"/>
          <w:color w:val="000000"/>
        </w:rPr>
      </w:pPr>
      <w:r w:rsidRPr="00606B35">
        <w:rPr>
          <w:rFonts w:cstheme="minorHAnsi"/>
          <w:color w:val="000000"/>
        </w:rPr>
        <w:t>a partner living with HIV who has not been on effective HIV treatment (</w:t>
      </w:r>
      <w:r w:rsidR="006F7BA7" w:rsidRPr="00606B35">
        <w:rPr>
          <w:rFonts w:cstheme="minorHAnsi"/>
          <w:color w:val="000000"/>
        </w:rPr>
        <w:t>o</w:t>
      </w:r>
      <w:r w:rsidRPr="00606B35">
        <w:rPr>
          <w:rFonts w:cstheme="minorHAnsi"/>
          <w:color w:val="000000"/>
        </w:rPr>
        <w:t xml:space="preserve">n ART for less than </w:t>
      </w:r>
      <w:r w:rsidR="006F7BA7" w:rsidRPr="00606B35">
        <w:rPr>
          <w:rFonts w:cstheme="minorHAnsi"/>
          <w:color w:val="000000"/>
        </w:rPr>
        <w:t>six</w:t>
      </w:r>
      <w:r w:rsidRPr="00606B35">
        <w:rPr>
          <w:rFonts w:cstheme="minorHAnsi"/>
          <w:color w:val="000000"/>
        </w:rPr>
        <w:t xml:space="preserve"> months or has inconsistent or unknown adherence)</w:t>
      </w:r>
    </w:p>
    <w:p w14:paraId="635DEB4B" w14:textId="57B116F6" w:rsidR="00CE3BE4" w:rsidRPr="00606B35" w:rsidRDefault="00D857D4" w:rsidP="00B25741">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rPr>
        <w:t>Recent or current</w:t>
      </w:r>
      <w:r w:rsidRPr="00606B35">
        <w:rPr>
          <w:rFonts w:cstheme="minorHAnsi"/>
          <w:color w:val="000000"/>
        </w:rPr>
        <w:t xml:space="preserve"> </w:t>
      </w:r>
      <w:r w:rsidR="00CE3BE4" w:rsidRPr="00606B35">
        <w:rPr>
          <w:rFonts w:cstheme="minorHAnsi"/>
          <w:color w:val="000000"/>
        </w:rPr>
        <w:t xml:space="preserve">STI </w:t>
      </w:r>
      <w:r>
        <w:rPr>
          <w:rFonts w:cstheme="minorHAnsi"/>
          <w:color w:val="000000"/>
        </w:rPr>
        <w:t>diagnosis</w:t>
      </w:r>
      <w:r w:rsidR="00CE3BE4" w:rsidRPr="00606B35">
        <w:rPr>
          <w:rFonts w:cstheme="minorHAnsi"/>
          <w:color w:val="000000"/>
        </w:rPr>
        <w:t xml:space="preserve"> (based on lab test, syndromic STI treatment, or self-report)</w:t>
      </w:r>
    </w:p>
    <w:p w14:paraId="25187B55" w14:textId="2BB3748D" w:rsidR="00CE3BE4" w:rsidRPr="00606B35" w:rsidRDefault="000C02E6" w:rsidP="00B25741">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rPr>
        <w:t xml:space="preserve">Recent or current </w:t>
      </w:r>
      <w:r w:rsidR="00CE3BE4" w:rsidRPr="00606B35">
        <w:rPr>
          <w:rFonts w:cstheme="minorHAnsi"/>
          <w:color w:val="000000"/>
        </w:rPr>
        <w:t xml:space="preserve">PEP use </w:t>
      </w:r>
    </w:p>
    <w:p w14:paraId="33B5483A" w14:textId="4AF8F89D" w:rsidR="00444D3A" w:rsidRPr="007B6DAB"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Sharing of injection material and/or equipment </w:t>
      </w:r>
    </w:p>
    <w:p w14:paraId="6EE8A839" w14:textId="599DE0A3" w:rsidR="00CE3BE4" w:rsidRPr="00606B35" w:rsidRDefault="00CE3BE4" w:rsidP="00DD508F">
      <w:pPr>
        <w:pBdr>
          <w:top w:val="nil"/>
          <w:left w:val="nil"/>
          <w:bottom w:val="nil"/>
          <w:right w:val="nil"/>
          <w:between w:val="nil"/>
        </w:pBdr>
        <w:spacing w:after="120" w:line="240" w:lineRule="auto"/>
        <w:rPr>
          <w:b/>
          <w:color w:val="000000"/>
          <w:u w:val="single"/>
        </w:rPr>
      </w:pPr>
      <w:bookmarkStart w:id="47" w:name="_Int_GGgdHMsh"/>
      <w:r w:rsidRPr="0294A27B">
        <w:rPr>
          <w:b/>
          <w:color w:val="000000" w:themeColor="text1"/>
          <w:u w:val="single"/>
        </w:rPr>
        <w:t>Assess for</w:t>
      </w:r>
      <w:bookmarkEnd w:id="47"/>
      <w:r w:rsidRPr="0294A27B">
        <w:rPr>
          <w:b/>
          <w:color w:val="000000" w:themeColor="text1"/>
          <w:u w:val="single"/>
        </w:rPr>
        <w:t xml:space="preserve"> contraindications for use </w:t>
      </w:r>
      <w:r w:rsidR="00517B59" w:rsidRPr="0294A27B">
        <w:rPr>
          <w:b/>
          <w:color w:val="000000" w:themeColor="text1"/>
          <w:u w:val="single"/>
        </w:rPr>
        <w:t>o</w:t>
      </w:r>
      <w:r w:rsidRPr="0294A27B">
        <w:rPr>
          <w:b/>
          <w:color w:val="000000" w:themeColor="text1"/>
          <w:u w:val="single"/>
        </w:rPr>
        <w:t xml:space="preserve">f client’s chosen PrEP </w:t>
      </w:r>
      <w:r w:rsidR="00464885" w:rsidRPr="0294A27B">
        <w:rPr>
          <w:b/>
          <w:color w:val="000000" w:themeColor="text1"/>
          <w:u w:val="single"/>
        </w:rPr>
        <w:t>method</w:t>
      </w:r>
    </w:p>
    <w:p w14:paraId="151A9AF5" w14:textId="7C27CA7B" w:rsidR="0069549E" w:rsidRPr="00606B35" w:rsidRDefault="00CE3BE4" w:rsidP="00DD508F">
      <w:pPr>
        <w:pBdr>
          <w:top w:val="nil"/>
          <w:left w:val="nil"/>
          <w:bottom w:val="nil"/>
          <w:right w:val="nil"/>
          <w:between w:val="nil"/>
        </w:pBdr>
        <w:spacing w:after="120" w:line="240" w:lineRule="auto"/>
        <w:rPr>
          <w:b/>
          <w:color w:val="000000"/>
          <w:u w:val="single"/>
        </w:rPr>
      </w:pPr>
      <w:r w:rsidRPr="0294A27B">
        <w:rPr>
          <w:color w:val="000000" w:themeColor="text1"/>
        </w:rPr>
        <w:t xml:space="preserve">Clients must be assessed for contraindications for </w:t>
      </w:r>
      <w:r w:rsidR="00D74487">
        <w:rPr>
          <w:color w:val="000000" w:themeColor="text1"/>
        </w:rPr>
        <w:t xml:space="preserve">the </w:t>
      </w:r>
      <w:r w:rsidRPr="0294A27B">
        <w:rPr>
          <w:color w:val="000000" w:themeColor="text1"/>
        </w:rPr>
        <w:t xml:space="preserve">use </w:t>
      </w:r>
      <w:r w:rsidR="00B62755" w:rsidRPr="0294A27B">
        <w:rPr>
          <w:color w:val="000000" w:themeColor="text1"/>
        </w:rPr>
        <w:t>o</w:t>
      </w:r>
      <w:r w:rsidRPr="0294A27B">
        <w:rPr>
          <w:color w:val="000000" w:themeColor="text1"/>
        </w:rPr>
        <w:t xml:space="preserve">f their chosen PrEP </w:t>
      </w:r>
      <w:r w:rsidR="00464885" w:rsidRPr="0294A27B">
        <w:rPr>
          <w:color w:val="000000" w:themeColor="text1"/>
        </w:rPr>
        <w:t>method</w:t>
      </w:r>
      <w:r w:rsidRPr="0294A27B">
        <w:rPr>
          <w:color w:val="000000" w:themeColor="text1"/>
        </w:rPr>
        <w:t xml:space="preserve">. Since some clients will decide on a </w:t>
      </w:r>
      <w:r w:rsidR="00464885" w:rsidRPr="0294A27B">
        <w:rPr>
          <w:color w:val="000000" w:themeColor="text1"/>
        </w:rPr>
        <w:t>method</w:t>
      </w:r>
      <w:r w:rsidRPr="0294A27B">
        <w:rPr>
          <w:color w:val="000000" w:themeColor="text1"/>
        </w:rPr>
        <w:t xml:space="preserve"> during PrEP counseling, this portion of </w:t>
      </w:r>
      <w:r w:rsidR="006B19AC">
        <w:rPr>
          <w:color w:val="000000" w:themeColor="text1"/>
        </w:rPr>
        <w:t xml:space="preserve">the </w:t>
      </w:r>
      <w:r w:rsidR="00A21B8F" w:rsidRPr="0294A27B">
        <w:rPr>
          <w:color w:val="000000" w:themeColor="text1"/>
        </w:rPr>
        <w:t xml:space="preserve">assessment </w:t>
      </w:r>
      <w:r w:rsidRPr="0294A27B">
        <w:rPr>
          <w:color w:val="000000" w:themeColor="text1"/>
        </w:rPr>
        <w:t xml:space="preserve">may occur before, during, or after counseling takes place. Contraindications for each method are found </w:t>
      </w:r>
      <w:r w:rsidR="00464885" w:rsidRPr="0294A27B">
        <w:rPr>
          <w:color w:val="000000" w:themeColor="text1"/>
        </w:rPr>
        <w:t>in</w:t>
      </w:r>
      <w:r w:rsidRPr="0294A27B">
        <w:rPr>
          <w:color w:val="000000" w:themeColor="text1"/>
        </w:rPr>
        <w:t xml:space="preserve"> the overviews of each method above.</w:t>
      </w:r>
    </w:p>
    <w:p w14:paraId="407801DC" w14:textId="534A98E4" w:rsidR="004A3732" w:rsidRPr="00606B35" w:rsidRDefault="004A3732" w:rsidP="00DD508F">
      <w:pPr>
        <w:pStyle w:val="Heading2"/>
        <w:spacing w:before="0" w:after="120" w:line="240" w:lineRule="auto"/>
        <w:rPr>
          <w:rFonts w:asciiTheme="minorHAnsi" w:hAnsiTheme="minorHAnsi" w:cstheme="minorBidi"/>
        </w:rPr>
      </w:pPr>
      <w:bookmarkStart w:id="48" w:name="_Toc182989123"/>
      <w:r w:rsidRPr="00606B35">
        <w:rPr>
          <w:rFonts w:asciiTheme="minorHAnsi" w:hAnsiTheme="minorHAnsi" w:cstheme="minorBidi"/>
        </w:rPr>
        <w:t xml:space="preserve">Component 3: </w:t>
      </w:r>
      <w:r w:rsidR="006A2404">
        <w:rPr>
          <w:rFonts w:asciiTheme="minorHAnsi" w:hAnsiTheme="minorHAnsi" w:cstheme="minorBidi"/>
        </w:rPr>
        <w:t xml:space="preserve">PrEP </w:t>
      </w:r>
      <w:r w:rsidRPr="00606B35">
        <w:rPr>
          <w:rFonts w:asciiTheme="minorHAnsi" w:hAnsiTheme="minorHAnsi" w:cstheme="minorBidi"/>
        </w:rPr>
        <w:t>Counseling</w:t>
      </w:r>
      <w:bookmarkEnd w:id="48"/>
    </w:p>
    <w:p w14:paraId="20B23B3B" w14:textId="3CB7EF98" w:rsidR="00D80668" w:rsidRPr="00606B35" w:rsidRDefault="00D80668" w:rsidP="00DD508F">
      <w:pPr>
        <w:pBdr>
          <w:top w:val="nil"/>
          <w:left w:val="nil"/>
          <w:bottom w:val="nil"/>
          <w:right w:val="nil"/>
          <w:between w:val="nil"/>
        </w:pBdr>
        <w:spacing w:after="120" w:line="240" w:lineRule="auto"/>
        <w:rPr>
          <w:color w:val="000000"/>
        </w:rPr>
      </w:pPr>
      <w:r w:rsidRPr="0294A27B">
        <w:rPr>
          <w:color w:val="000000" w:themeColor="text1"/>
        </w:rPr>
        <w:t xml:space="preserve">Education and counseling for clients considering PrEP, or clients already on PrEP, are important to ensure clients </w:t>
      </w:r>
      <w:r w:rsidR="004606E7" w:rsidRPr="0294A27B">
        <w:rPr>
          <w:color w:val="000000" w:themeColor="text1"/>
        </w:rPr>
        <w:t>can</w:t>
      </w:r>
      <w:r w:rsidRPr="0294A27B">
        <w:rPr>
          <w:color w:val="000000" w:themeColor="text1"/>
        </w:rPr>
        <w:t xml:space="preserve"> make informed choices and effectively use PrEP.</w:t>
      </w:r>
    </w:p>
    <w:p w14:paraId="70971628" w14:textId="138E886C" w:rsidR="00D80668" w:rsidRPr="00606B35" w:rsidRDefault="00D80668" w:rsidP="00DD508F">
      <w:pPr>
        <w:pBdr>
          <w:top w:val="nil"/>
          <w:left w:val="nil"/>
          <w:bottom w:val="nil"/>
          <w:right w:val="nil"/>
          <w:between w:val="nil"/>
        </w:pBdr>
        <w:spacing w:after="120" w:line="240" w:lineRule="auto"/>
        <w:rPr>
          <w:b/>
          <w:color w:val="000000"/>
        </w:rPr>
      </w:pPr>
      <w:r w:rsidRPr="0294A27B">
        <w:rPr>
          <w:b/>
          <w:color w:val="000000" w:themeColor="text1"/>
        </w:rPr>
        <w:t>PrEP counseling should be based on the following</w:t>
      </w:r>
      <w:r w:rsidR="00612ECF" w:rsidRPr="0294A27B">
        <w:rPr>
          <w:b/>
          <w:color w:val="000000" w:themeColor="text1"/>
        </w:rPr>
        <w:t xml:space="preserve"> right to health-based</w:t>
      </w:r>
      <w:r w:rsidRPr="0294A27B">
        <w:rPr>
          <w:b/>
          <w:color w:val="000000" w:themeColor="text1"/>
        </w:rPr>
        <w:t xml:space="preserve"> principles:</w:t>
      </w:r>
    </w:p>
    <w:p w14:paraId="6F39E08F" w14:textId="2A750E3B"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Be client-driven</w:t>
      </w:r>
      <w:r w:rsidR="00ED402E">
        <w:rPr>
          <w:rFonts w:cstheme="minorHAnsi"/>
          <w:color w:val="000000"/>
        </w:rPr>
        <w:t xml:space="preserve"> and person-</w:t>
      </w:r>
      <w:r w:rsidR="007E0878">
        <w:rPr>
          <w:rFonts w:cstheme="minorHAnsi"/>
          <w:color w:val="000000"/>
        </w:rPr>
        <w:t>centered</w:t>
      </w:r>
      <w:r w:rsidRPr="00606B35">
        <w:rPr>
          <w:rFonts w:cstheme="minorHAnsi"/>
          <w:color w:val="000000"/>
        </w:rPr>
        <w:t>, based on their needs, resources, and preferences</w:t>
      </w:r>
    </w:p>
    <w:p w14:paraId="1A68BAAC" w14:textId="31138FEB"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Be based on a foundation of respect and include an open</w:t>
      </w:r>
      <w:r w:rsidR="00677F89" w:rsidRPr="00606B35">
        <w:rPr>
          <w:rFonts w:cstheme="minorHAnsi"/>
          <w:color w:val="000000"/>
        </w:rPr>
        <w:t>,</w:t>
      </w:r>
      <w:r w:rsidRPr="00606B35">
        <w:rPr>
          <w:rFonts w:cstheme="minorHAnsi"/>
          <w:color w:val="000000"/>
        </w:rPr>
        <w:t xml:space="preserve"> honest relationship between provider and client </w:t>
      </w:r>
    </w:p>
    <w:p w14:paraId="3ECE218A" w14:textId="145B9022"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Recognize that behavior change </w:t>
      </w:r>
      <w:r w:rsidR="00587817">
        <w:rPr>
          <w:rFonts w:cstheme="minorHAnsi"/>
          <w:color w:val="000000"/>
        </w:rPr>
        <w:t>can take time</w:t>
      </w:r>
    </w:p>
    <w:p w14:paraId="04E988CC" w14:textId="1D846CEA"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Validate and normalize client concerns</w:t>
      </w:r>
      <w:r w:rsidR="000A4DBC">
        <w:rPr>
          <w:rFonts w:cstheme="minorHAnsi"/>
          <w:color w:val="000000"/>
        </w:rPr>
        <w:t>,</w:t>
      </w:r>
      <w:r w:rsidRPr="00606B35">
        <w:rPr>
          <w:rFonts w:cstheme="minorHAnsi"/>
          <w:color w:val="000000"/>
        </w:rPr>
        <w:t xml:space="preserve"> seek to affirm and encourage client efforts</w:t>
      </w:r>
      <w:r w:rsidR="009B6EB2">
        <w:rPr>
          <w:rFonts w:cstheme="minorHAnsi"/>
          <w:color w:val="000000"/>
        </w:rPr>
        <w:t>,</w:t>
      </w:r>
      <w:r w:rsidRPr="00606B35">
        <w:rPr>
          <w:rFonts w:cstheme="minorHAnsi"/>
          <w:color w:val="000000"/>
        </w:rPr>
        <w:t xml:space="preserve"> and not be prescriptive or judgmental</w:t>
      </w:r>
    </w:p>
    <w:p w14:paraId="0E31AF89" w14:textId="28927E79"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Focus on identif</w:t>
      </w:r>
      <w:r w:rsidR="00700569">
        <w:rPr>
          <w:rFonts w:cstheme="minorHAnsi"/>
          <w:color w:val="000000"/>
        </w:rPr>
        <w:t>ying</w:t>
      </w:r>
      <w:r w:rsidRPr="00606B35">
        <w:rPr>
          <w:rFonts w:cstheme="minorHAnsi"/>
          <w:color w:val="000000"/>
        </w:rPr>
        <w:t xml:space="preserve"> small wins and achievable next steps in reducing </w:t>
      </w:r>
      <w:r w:rsidR="00964CB1" w:rsidRPr="00606B35">
        <w:rPr>
          <w:rFonts w:cstheme="minorHAnsi"/>
          <w:color w:val="000000"/>
        </w:rPr>
        <w:t>potential exposures</w:t>
      </w:r>
      <w:r w:rsidRPr="00606B35">
        <w:rPr>
          <w:rFonts w:cstheme="minorHAnsi"/>
          <w:color w:val="000000"/>
        </w:rPr>
        <w:t xml:space="preserve"> and/or making </w:t>
      </w:r>
      <w:r w:rsidR="00964CB1" w:rsidRPr="00606B35">
        <w:rPr>
          <w:rFonts w:cstheme="minorHAnsi"/>
          <w:color w:val="000000"/>
        </w:rPr>
        <w:t>effective use</w:t>
      </w:r>
      <w:r w:rsidRPr="00606B35">
        <w:rPr>
          <w:rFonts w:cstheme="minorHAnsi"/>
          <w:color w:val="000000"/>
        </w:rPr>
        <w:t xml:space="preserve"> easier</w:t>
      </w:r>
    </w:p>
    <w:p w14:paraId="2327E1CE" w14:textId="4FBCC7C8" w:rsidR="00D80668"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Include contingency planning when common barriers are encountered </w:t>
      </w:r>
    </w:p>
    <w:p w14:paraId="5A238D5E" w14:textId="55FCFEA2" w:rsidR="00672A5D" w:rsidRPr="006561F7" w:rsidRDefault="001B6F3B" w:rsidP="00A318A3">
      <w:pPr>
        <w:numPr>
          <w:ilvl w:val="0"/>
          <w:numId w:val="4"/>
        </w:numPr>
        <w:pBdr>
          <w:top w:val="nil"/>
          <w:left w:val="nil"/>
          <w:bottom w:val="nil"/>
          <w:right w:val="nil"/>
          <w:between w:val="nil"/>
        </w:pBdr>
        <w:spacing w:after="120" w:line="240" w:lineRule="auto"/>
        <w:rPr>
          <w:rFonts w:cstheme="minorHAnsi"/>
          <w:b/>
          <w:bCs/>
          <w:color w:val="000000" w:themeColor="text1"/>
        </w:rPr>
      </w:pPr>
      <w:r w:rsidRPr="00490A73">
        <w:rPr>
          <w:rFonts w:cstheme="minorHAnsi"/>
          <w:color w:val="000000"/>
        </w:rPr>
        <w:t xml:space="preserve">Promote choice among available options based on </w:t>
      </w:r>
      <w:r w:rsidR="00467163">
        <w:rPr>
          <w:rFonts w:cstheme="minorHAnsi"/>
          <w:color w:val="000000"/>
        </w:rPr>
        <w:t>client</w:t>
      </w:r>
      <w:r w:rsidR="00467163" w:rsidRPr="00490A73">
        <w:rPr>
          <w:rFonts w:cstheme="minorHAnsi"/>
          <w:color w:val="000000"/>
        </w:rPr>
        <w:t xml:space="preserve"> </w:t>
      </w:r>
      <w:r w:rsidRPr="00490A73">
        <w:rPr>
          <w:rFonts w:cstheme="minorHAnsi"/>
          <w:color w:val="000000"/>
        </w:rPr>
        <w:t>preferences and acceptability</w:t>
      </w:r>
    </w:p>
    <w:p w14:paraId="65C175D3" w14:textId="77777777" w:rsidR="006561F7" w:rsidRPr="00510A54" w:rsidRDefault="006561F7" w:rsidP="006561F7">
      <w:pPr>
        <w:pBdr>
          <w:top w:val="nil"/>
          <w:left w:val="nil"/>
          <w:bottom w:val="nil"/>
          <w:right w:val="nil"/>
          <w:between w:val="nil"/>
        </w:pBdr>
        <w:spacing w:after="120" w:line="240" w:lineRule="auto"/>
        <w:ind w:left="720"/>
        <w:rPr>
          <w:rFonts w:cstheme="minorHAnsi"/>
          <w:b/>
          <w:bCs/>
          <w:color w:val="000000" w:themeColor="text1"/>
        </w:rPr>
      </w:pPr>
    </w:p>
    <w:p w14:paraId="407F6626" w14:textId="4CFC57D5" w:rsidR="00246F78" w:rsidRPr="00672A5D" w:rsidRDefault="00246F78" w:rsidP="00F31B22">
      <w:pPr>
        <w:pBdr>
          <w:top w:val="nil"/>
          <w:left w:val="nil"/>
          <w:bottom w:val="nil"/>
          <w:right w:val="nil"/>
          <w:between w:val="nil"/>
        </w:pBdr>
        <w:spacing w:after="120" w:line="240" w:lineRule="auto"/>
        <w:rPr>
          <w:b/>
          <w:color w:val="000000" w:themeColor="text1"/>
          <w:u w:val="single"/>
        </w:rPr>
      </w:pPr>
      <w:r w:rsidRPr="0294A27B">
        <w:rPr>
          <w:b/>
          <w:color w:val="000000" w:themeColor="text1"/>
          <w:u w:val="single"/>
        </w:rPr>
        <w:lastRenderedPageBreak/>
        <w:t>Topics for Initial PrEP Counseling</w:t>
      </w:r>
    </w:p>
    <w:p w14:paraId="727E9D3D" w14:textId="4C7BC487" w:rsidR="00CD548B" w:rsidRPr="00606B35" w:rsidRDefault="008F5909"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S</w:t>
      </w:r>
      <w:r w:rsidR="00CD548B" w:rsidRPr="00606B35">
        <w:rPr>
          <w:rFonts w:cstheme="minorHAnsi"/>
          <w:color w:val="000000" w:themeColor="text1"/>
        </w:rPr>
        <w:t>exual behaviors</w:t>
      </w:r>
    </w:p>
    <w:p w14:paraId="7E631A67" w14:textId="77777777"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Alcohol and drug use</w:t>
      </w:r>
    </w:p>
    <w:p w14:paraId="3AF8DB54" w14:textId="77777777"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Plan for preventing HIV and other STIs</w:t>
      </w:r>
    </w:p>
    <w:p w14:paraId="33A491CC" w14:textId="77777777" w:rsidR="002725C2" w:rsidRPr="00606B35" w:rsidRDefault="002725C2"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Mental health</w:t>
      </w:r>
    </w:p>
    <w:p w14:paraId="4ABB2F42" w14:textId="7E5FDD41" w:rsidR="00BB0D33" w:rsidRPr="00385367" w:rsidRDefault="00CD548B" w:rsidP="001928F7">
      <w:pPr>
        <w:pStyle w:val="ListParagraph"/>
        <w:numPr>
          <w:ilvl w:val="0"/>
          <w:numId w:val="19"/>
        </w:numPr>
        <w:spacing w:after="120" w:line="240" w:lineRule="auto"/>
        <w:rPr>
          <w:color w:val="000000" w:themeColor="text1"/>
        </w:rPr>
      </w:pPr>
      <w:r w:rsidRPr="0294A27B">
        <w:rPr>
          <w:color w:val="000000" w:themeColor="text1"/>
        </w:rPr>
        <w:t>Prevention needs and interest in and willingness to take PrEP</w:t>
      </w:r>
    </w:p>
    <w:p w14:paraId="3096F4B7" w14:textId="6A8E1E91"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Experience of gender-based violence (GBV), including intimate partner violence (IPV)</w:t>
      </w:r>
    </w:p>
    <w:p w14:paraId="2A36DF75" w14:textId="0A6F1A4F" w:rsidR="00CD548B" w:rsidRPr="00A95863" w:rsidRDefault="00CD548B" w:rsidP="004051BB">
      <w:pPr>
        <w:pStyle w:val="ListParagraph"/>
        <w:numPr>
          <w:ilvl w:val="1"/>
          <w:numId w:val="19"/>
        </w:numPr>
        <w:spacing w:after="120" w:line="240" w:lineRule="auto"/>
        <w:rPr>
          <w:color w:val="000000" w:themeColor="text1"/>
        </w:rPr>
      </w:pPr>
      <w:r w:rsidRPr="0294A27B">
        <w:rPr>
          <w:color w:val="000000" w:themeColor="text1"/>
        </w:rPr>
        <w:t>Provide appropriate GBV and IPV response, including first-line support and referral where necessary, and support clients to identify ways to effectively use and continue PrEP</w:t>
      </w:r>
      <w:r w:rsidR="005132F0">
        <w:rPr>
          <w:color w:val="000000" w:themeColor="text1"/>
        </w:rPr>
        <w:t xml:space="preserve"> </w:t>
      </w:r>
      <w:r w:rsidR="00714996">
        <w:rPr>
          <w:color w:val="000000" w:themeColor="text1"/>
        </w:rPr>
        <w:t>for as long as the client wishes to use it as part of their HIV prevention strategy</w:t>
      </w:r>
      <w:r w:rsidRPr="0294A27B">
        <w:rPr>
          <w:color w:val="000000" w:themeColor="text1"/>
        </w:rPr>
        <w:t xml:space="preserve">. </w:t>
      </w:r>
      <w:r w:rsidRPr="0294A27B">
        <w:rPr>
          <w:i/>
          <w:color w:val="000000" w:themeColor="text1"/>
        </w:rPr>
        <w:t>(Clients experiencing GBV, including IPV, should not be prohibited from receiving PrEP if they can effectively use it.)</w:t>
      </w:r>
    </w:p>
    <w:p w14:paraId="6031DFD0" w14:textId="0EA62EC5" w:rsidR="00A95863" w:rsidRPr="006776FF" w:rsidRDefault="00A95863" w:rsidP="00A95863">
      <w:pPr>
        <w:pStyle w:val="ListParagraph"/>
        <w:numPr>
          <w:ilvl w:val="0"/>
          <w:numId w:val="19"/>
        </w:numPr>
        <w:spacing w:after="120" w:line="240" w:lineRule="auto"/>
        <w:rPr>
          <w:rFonts w:cstheme="minorHAnsi"/>
          <w:color w:val="000000" w:themeColor="text1"/>
        </w:rPr>
      </w:pPr>
      <w:r w:rsidRPr="00AD48D6">
        <w:rPr>
          <w:rFonts w:cstheme="minorHAnsi"/>
          <w:color w:val="000000" w:themeColor="text1"/>
        </w:rPr>
        <w:t>Contraceptive needs</w:t>
      </w:r>
    </w:p>
    <w:p w14:paraId="658CDBDD" w14:textId="5E5A26A4" w:rsidR="00F75D32" w:rsidRPr="00606B35" w:rsidRDefault="00CD548B" w:rsidP="00391C93">
      <w:pPr>
        <w:pStyle w:val="ListParagraph"/>
        <w:numPr>
          <w:ilvl w:val="0"/>
          <w:numId w:val="19"/>
        </w:numPr>
        <w:spacing w:after="120" w:line="240" w:lineRule="auto"/>
        <w:rPr>
          <w:color w:val="000000" w:themeColor="text1"/>
        </w:rPr>
      </w:pPr>
      <w:r w:rsidRPr="0294A27B">
        <w:rPr>
          <w:color w:val="000000" w:themeColor="text1"/>
        </w:rPr>
        <w:t xml:space="preserve">Key messages on </w:t>
      </w:r>
      <w:r w:rsidR="009E3B66">
        <w:rPr>
          <w:color w:val="000000" w:themeColor="text1"/>
        </w:rPr>
        <w:t xml:space="preserve">PrEP, PEP, and </w:t>
      </w:r>
      <w:r w:rsidR="0097732C" w:rsidRPr="0294A27B">
        <w:rPr>
          <w:color w:val="000000" w:themeColor="text1"/>
        </w:rPr>
        <w:t xml:space="preserve">specific </w:t>
      </w:r>
      <w:r w:rsidRPr="0294A27B">
        <w:rPr>
          <w:color w:val="000000" w:themeColor="text1"/>
        </w:rPr>
        <w:t>PrEP</w:t>
      </w:r>
      <w:r w:rsidR="0097732C" w:rsidRPr="0294A27B">
        <w:rPr>
          <w:color w:val="000000" w:themeColor="text1"/>
        </w:rPr>
        <w:t xml:space="preserve"> methods</w:t>
      </w:r>
      <w:r w:rsidR="00610253">
        <w:rPr>
          <w:color w:val="000000" w:themeColor="text1"/>
        </w:rPr>
        <w:t xml:space="preserve">, including </w:t>
      </w:r>
      <w:r w:rsidR="00E84C6E">
        <w:rPr>
          <w:color w:val="000000" w:themeColor="text1"/>
        </w:rPr>
        <w:t xml:space="preserve">starting, stopping, and </w:t>
      </w:r>
      <w:r w:rsidR="004A7441">
        <w:rPr>
          <w:color w:val="000000" w:themeColor="text1"/>
        </w:rPr>
        <w:t>eff</w:t>
      </w:r>
      <w:r w:rsidR="00C45560">
        <w:rPr>
          <w:color w:val="000000" w:themeColor="text1"/>
        </w:rPr>
        <w:t xml:space="preserve">ective </w:t>
      </w:r>
      <w:r w:rsidR="000F58B8">
        <w:rPr>
          <w:color w:val="000000" w:themeColor="text1"/>
        </w:rPr>
        <w:t>use</w:t>
      </w:r>
      <w:r w:rsidR="00CA19A4">
        <w:rPr>
          <w:color w:val="000000" w:themeColor="text1"/>
        </w:rPr>
        <w:t xml:space="preserve"> of chosen method</w:t>
      </w:r>
      <w:r w:rsidR="00246F78" w:rsidRPr="0294A27B">
        <w:rPr>
          <w:color w:val="000000" w:themeColor="text1"/>
        </w:rPr>
        <w:t xml:space="preserve"> (</w:t>
      </w:r>
      <w:r w:rsidR="00D729EF" w:rsidRPr="006F0751">
        <w:rPr>
          <w:bCs/>
        </w:rPr>
        <w:t xml:space="preserve">see </w:t>
      </w:r>
      <w:r w:rsidR="00D729EF" w:rsidRPr="006F0751">
        <w:rPr>
          <w:bCs/>
          <w:i/>
        </w:rPr>
        <w:t xml:space="preserve">Table </w:t>
      </w:r>
      <w:r w:rsidR="00E83091">
        <w:rPr>
          <w:bCs/>
          <w:i/>
        </w:rPr>
        <w:t>3</w:t>
      </w:r>
      <w:r w:rsidR="00E83091" w:rsidRPr="006F0751">
        <w:rPr>
          <w:bCs/>
        </w:rPr>
        <w:t xml:space="preserve"> </w:t>
      </w:r>
      <w:r w:rsidR="00801B2A" w:rsidRPr="006F0751">
        <w:rPr>
          <w:bCs/>
        </w:rPr>
        <w:t>in</w:t>
      </w:r>
      <w:r w:rsidR="00801B2A" w:rsidRPr="00B25741">
        <w:rPr>
          <w:b/>
        </w:rPr>
        <w:t xml:space="preserve"> </w:t>
      </w:r>
      <w:r w:rsidR="00801B2A" w:rsidRPr="006F0751">
        <w:rPr>
          <w:bCs/>
          <w:i/>
        </w:rPr>
        <w:t>Annex</w:t>
      </w:r>
      <w:r w:rsidR="00D729EF" w:rsidRPr="0294A27B">
        <w:t>)</w:t>
      </w:r>
    </w:p>
    <w:p w14:paraId="54A2397D" w14:textId="47B428C5" w:rsidR="004A3732" w:rsidRPr="00606B35" w:rsidRDefault="004A3732" w:rsidP="00DD508F">
      <w:pPr>
        <w:pStyle w:val="Heading2"/>
        <w:spacing w:before="0" w:after="120" w:line="240" w:lineRule="auto"/>
        <w:rPr>
          <w:rFonts w:asciiTheme="minorHAnsi" w:hAnsiTheme="minorHAnsi" w:cstheme="minorBidi"/>
        </w:rPr>
      </w:pPr>
      <w:bookmarkStart w:id="49" w:name="_Toc182989124"/>
      <w:r w:rsidRPr="0294A27B">
        <w:rPr>
          <w:rFonts w:asciiTheme="minorHAnsi" w:hAnsiTheme="minorHAnsi" w:cstheme="minorBidi"/>
        </w:rPr>
        <w:t>Component 4: PrEP Prescription</w:t>
      </w:r>
      <w:bookmarkEnd w:id="49"/>
    </w:p>
    <w:p w14:paraId="361BCF90" w14:textId="77BB2608" w:rsidR="002074D9" w:rsidRDefault="0BDCA541" w:rsidP="10A43560">
      <w:pPr>
        <w:pBdr>
          <w:top w:val="nil"/>
          <w:left w:val="nil"/>
          <w:bottom w:val="nil"/>
          <w:right w:val="nil"/>
          <w:between w:val="nil"/>
        </w:pBdr>
        <w:spacing w:after="120" w:line="240" w:lineRule="auto"/>
        <w:rPr>
          <w:color w:val="000000" w:themeColor="text1"/>
        </w:rPr>
      </w:pPr>
      <w:r w:rsidRPr="56D00486">
        <w:rPr>
          <w:color w:val="000000" w:themeColor="text1"/>
        </w:rPr>
        <w:t>C</w:t>
      </w:r>
      <w:r w:rsidR="463D1FC9" w:rsidRPr="56D00486">
        <w:rPr>
          <w:color w:val="000000" w:themeColor="text1"/>
        </w:rPr>
        <w:t>lient</w:t>
      </w:r>
      <w:r w:rsidR="6A5922D0" w:rsidRPr="56D00486">
        <w:rPr>
          <w:color w:val="000000" w:themeColor="text1"/>
        </w:rPr>
        <w:t>s</w:t>
      </w:r>
      <w:r w:rsidR="463D1FC9" w:rsidRPr="56D00486">
        <w:rPr>
          <w:color w:val="000000" w:themeColor="text1"/>
        </w:rPr>
        <w:t xml:space="preserve"> </w:t>
      </w:r>
      <w:r w:rsidR="103ABEB4" w:rsidRPr="56D00486">
        <w:rPr>
          <w:color w:val="000000" w:themeColor="text1"/>
        </w:rPr>
        <w:t>who will use oral PrEP</w:t>
      </w:r>
      <w:r w:rsidR="00327464">
        <w:rPr>
          <w:color w:val="000000" w:themeColor="text1"/>
        </w:rPr>
        <w:t xml:space="preserve"> </w:t>
      </w:r>
      <w:r w:rsidR="103ABEB4" w:rsidRPr="56D00486">
        <w:rPr>
          <w:color w:val="000000" w:themeColor="text1"/>
        </w:rPr>
        <w:t xml:space="preserve">or the PrEP ring </w:t>
      </w:r>
      <w:r w:rsidR="463D1FC9" w:rsidRPr="56D00486">
        <w:rPr>
          <w:color w:val="000000" w:themeColor="text1"/>
        </w:rPr>
        <w:t xml:space="preserve">could be prescribed a single bottle/ring and scheduled for a one-month follow-up </w:t>
      </w:r>
      <w:r w:rsidR="4F43A6CE" w:rsidRPr="56D00486">
        <w:rPr>
          <w:color w:val="000000" w:themeColor="text1"/>
        </w:rPr>
        <w:t>visit</w:t>
      </w:r>
      <w:r w:rsidR="0026603E">
        <w:rPr>
          <w:color w:val="000000" w:themeColor="text1"/>
        </w:rPr>
        <w:t xml:space="preserve"> (either in-person or virtually)</w:t>
      </w:r>
      <w:r w:rsidR="00EF3140">
        <w:rPr>
          <w:color w:val="000000" w:themeColor="text1"/>
        </w:rPr>
        <w:t>. Based on client needs and preferences, clients could also</w:t>
      </w:r>
      <w:r w:rsidR="463D1FC9" w:rsidRPr="56D00486">
        <w:rPr>
          <w:color w:val="000000" w:themeColor="text1"/>
        </w:rPr>
        <w:t> </w:t>
      </w:r>
      <w:r w:rsidR="1E5A742C" w:rsidRPr="56D00486">
        <w:rPr>
          <w:color w:val="000000" w:themeColor="text1"/>
        </w:rPr>
        <w:t xml:space="preserve">be provided with </w:t>
      </w:r>
      <w:r w:rsidR="463D1FC9" w:rsidRPr="56D00486">
        <w:rPr>
          <w:color w:val="000000" w:themeColor="text1"/>
        </w:rPr>
        <w:t>multiple bottles/rings and scheduled for a one-month or three-month follow-up visit</w:t>
      </w:r>
      <w:r w:rsidR="00117658">
        <w:rPr>
          <w:color w:val="000000" w:themeColor="text1"/>
        </w:rPr>
        <w:t xml:space="preserve"> (either in-person or virtually)</w:t>
      </w:r>
      <w:r w:rsidR="005701CF">
        <w:rPr>
          <w:color w:val="000000" w:themeColor="text1"/>
        </w:rPr>
        <w:t>.</w:t>
      </w:r>
      <w:r w:rsidR="004C6243">
        <w:rPr>
          <w:color w:val="000000" w:themeColor="text1"/>
        </w:rPr>
        <w:t xml:space="preserve"> </w:t>
      </w:r>
      <w:r w:rsidR="2F6C1A98" w:rsidRPr="56D00486">
        <w:rPr>
          <w:color w:val="000000" w:themeColor="text1"/>
        </w:rPr>
        <w:t xml:space="preserve">Clients </w:t>
      </w:r>
      <w:r w:rsidR="092BB435" w:rsidRPr="56D00486">
        <w:rPr>
          <w:color w:val="000000" w:themeColor="text1"/>
        </w:rPr>
        <w:t xml:space="preserve">using oral PrEP or the ring </w:t>
      </w:r>
      <w:r w:rsidR="2F6C1A98" w:rsidRPr="56D00486">
        <w:rPr>
          <w:color w:val="000000" w:themeColor="text1"/>
        </w:rPr>
        <w:t xml:space="preserve">who have some medication supply in reserve tend to show better </w:t>
      </w:r>
      <w:r w:rsidR="312AC9CE" w:rsidRPr="56D00486">
        <w:rPr>
          <w:color w:val="000000" w:themeColor="text1"/>
        </w:rPr>
        <w:t>effective use</w:t>
      </w:r>
      <w:r w:rsidR="2F6C1A98" w:rsidRPr="56D00486">
        <w:rPr>
          <w:color w:val="000000" w:themeColor="text1"/>
        </w:rPr>
        <w:t>.</w:t>
      </w:r>
      <w:r w:rsidR="463D1FC9" w:rsidRPr="56D00486">
        <w:rPr>
          <w:color w:val="000000" w:themeColor="text1"/>
        </w:rPr>
        <w:t xml:space="preserve"> </w:t>
      </w:r>
      <w:r w:rsidR="00703576">
        <w:rPr>
          <w:color w:val="000000" w:themeColor="text1"/>
        </w:rPr>
        <w:t xml:space="preserve">All clients, especially those </w:t>
      </w:r>
      <w:r w:rsidR="00EB6718">
        <w:rPr>
          <w:color w:val="000000" w:themeColor="text1"/>
        </w:rPr>
        <w:t xml:space="preserve">using </w:t>
      </w:r>
      <w:r w:rsidR="008B1D31">
        <w:rPr>
          <w:color w:val="000000" w:themeColor="text1"/>
        </w:rPr>
        <w:t xml:space="preserve">the single or infrequent event regimen of </w:t>
      </w:r>
      <w:r w:rsidR="00EB6718">
        <w:rPr>
          <w:color w:val="000000" w:themeColor="text1"/>
        </w:rPr>
        <w:t>oral PrEP</w:t>
      </w:r>
      <w:r w:rsidR="00703576">
        <w:rPr>
          <w:color w:val="000000" w:themeColor="text1"/>
        </w:rPr>
        <w:t xml:space="preserve"> who may use fewer pills over a longer </w:t>
      </w:r>
      <w:proofErr w:type="gramStart"/>
      <w:r w:rsidR="00703576">
        <w:rPr>
          <w:color w:val="000000" w:themeColor="text1"/>
        </w:rPr>
        <w:t>period of time</w:t>
      </w:r>
      <w:proofErr w:type="gramEnd"/>
      <w:r w:rsidR="00703576">
        <w:rPr>
          <w:color w:val="000000" w:themeColor="text1"/>
        </w:rPr>
        <w:t xml:space="preserve">, should be informed about where to find product expiration dates and instructed on proper disposal of expired product. </w:t>
      </w:r>
      <w:r w:rsidR="26BB5C67" w:rsidRPr="56D00486">
        <w:rPr>
          <w:color w:val="000000" w:themeColor="text1"/>
        </w:rPr>
        <w:t>Schedule the client’s next visit at least a week before the pill supply will run out based on daily use</w:t>
      </w:r>
      <w:r w:rsidR="00334807">
        <w:rPr>
          <w:color w:val="000000" w:themeColor="text1"/>
        </w:rPr>
        <w:t xml:space="preserve"> or</w:t>
      </w:r>
      <w:r w:rsidR="26BB5C67" w:rsidRPr="56D00486">
        <w:rPr>
          <w:color w:val="000000" w:themeColor="text1"/>
        </w:rPr>
        <w:t xml:space="preserve"> at least a week before the client should change the last ring they have been given</w:t>
      </w:r>
      <w:r w:rsidR="7EB192BB" w:rsidRPr="56D00486">
        <w:rPr>
          <w:color w:val="000000" w:themeColor="text1"/>
        </w:rPr>
        <w:t>.</w:t>
      </w:r>
      <w:r w:rsidR="00815AE0">
        <w:rPr>
          <w:color w:val="000000" w:themeColor="text1"/>
        </w:rPr>
        <w:t xml:space="preserve"> If </w:t>
      </w:r>
      <w:r w:rsidR="00EE0A2D">
        <w:rPr>
          <w:color w:val="000000" w:themeColor="text1"/>
        </w:rPr>
        <w:t xml:space="preserve">a </w:t>
      </w:r>
      <w:r w:rsidR="00815AE0">
        <w:rPr>
          <w:color w:val="000000" w:themeColor="text1"/>
        </w:rPr>
        <w:t>client ha</w:t>
      </w:r>
      <w:r w:rsidR="00EE0A2D">
        <w:rPr>
          <w:color w:val="000000" w:themeColor="text1"/>
        </w:rPr>
        <w:t>s</w:t>
      </w:r>
      <w:r w:rsidR="00815AE0">
        <w:rPr>
          <w:color w:val="000000" w:themeColor="text1"/>
        </w:rPr>
        <w:t xml:space="preserve"> virtual follow-up visits where HIV</w:t>
      </w:r>
      <w:r w:rsidR="00A11D31">
        <w:rPr>
          <w:color w:val="000000" w:themeColor="text1"/>
        </w:rPr>
        <w:t xml:space="preserve"> self-test</w:t>
      </w:r>
      <w:r w:rsidR="00EE0A2D">
        <w:rPr>
          <w:color w:val="000000" w:themeColor="text1"/>
        </w:rPr>
        <w:t>s</w:t>
      </w:r>
      <w:r w:rsidR="00815AE0">
        <w:rPr>
          <w:color w:val="000000" w:themeColor="text1"/>
        </w:rPr>
        <w:t xml:space="preserve"> will be used, providing clients with these </w:t>
      </w:r>
      <w:r w:rsidR="0016523D">
        <w:rPr>
          <w:color w:val="000000" w:themeColor="text1"/>
        </w:rPr>
        <w:t xml:space="preserve">tests </w:t>
      </w:r>
      <w:r w:rsidR="00815AE0">
        <w:rPr>
          <w:color w:val="000000" w:themeColor="text1"/>
        </w:rPr>
        <w:t>alongside their oral PrEP or PrEP ring</w:t>
      </w:r>
      <w:r w:rsidR="00EE0A2D">
        <w:rPr>
          <w:color w:val="000000" w:themeColor="text1"/>
        </w:rPr>
        <w:t>s</w:t>
      </w:r>
      <w:r w:rsidR="00815AE0">
        <w:rPr>
          <w:color w:val="000000" w:themeColor="text1"/>
        </w:rPr>
        <w:t xml:space="preserve"> may help facilitate that visit.</w:t>
      </w:r>
      <w:r w:rsidR="00135E99" w:rsidRPr="00135E99">
        <w:rPr>
          <w:color w:val="000000" w:themeColor="text1"/>
        </w:rPr>
        <w:t xml:space="preserve"> </w:t>
      </w:r>
      <w:r w:rsidR="00135E99">
        <w:rPr>
          <w:color w:val="000000" w:themeColor="text1"/>
        </w:rPr>
        <w:t>Make sure to document amount of PrEP dispensed to client.</w:t>
      </w:r>
    </w:p>
    <w:p w14:paraId="649C04FE" w14:textId="57A444E1" w:rsidR="000A4099" w:rsidRPr="00606B35" w:rsidRDefault="6DA47BE9" w:rsidP="10A43560">
      <w:pPr>
        <w:pBdr>
          <w:top w:val="nil"/>
          <w:left w:val="nil"/>
          <w:bottom w:val="nil"/>
          <w:right w:val="nil"/>
          <w:between w:val="nil"/>
        </w:pBdr>
        <w:spacing w:after="120" w:line="240" w:lineRule="auto"/>
        <w:rPr>
          <w:color w:val="000000" w:themeColor="text1"/>
        </w:rPr>
      </w:pPr>
      <w:r w:rsidRPr="10A43560">
        <w:rPr>
          <w:color w:val="000000" w:themeColor="text1"/>
        </w:rPr>
        <w:t xml:space="preserve">Clients who will use CAB PrEP will be given their </w:t>
      </w:r>
      <w:r w:rsidR="00506B68">
        <w:rPr>
          <w:color w:val="000000" w:themeColor="text1"/>
        </w:rPr>
        <w:t>initiation</w:t>
      </w:r>
      <w:r w:rsidRPr="10A43560">
        <w:rPr>
          <w:color w:val="000000" w:themeColor="text1"/>
        </w:rPr>
        <w:t xml:space="preserve"> injection </w:t>
      </w:r>
      <w:r w:rsidR="00506B68">
        <w:rPr>
          <w:color w:val="000000" w:themeColor="text1"/>
        </w:rPr>
        <w:t>1</w:t>
      </w:r>
      <w:r w:rsidR="00700BB0">
        <w:rPr>
          <w:color w:val="000000" w:themeColor="text1"/>
        </w:rPr>
        <w:t xml:space="preserve"> </w:t>
      </w:r>
      <w:r w:rsidR="0053112B">
        <w:rPr>
          <w:color w:val="000000" w:themeColor="text1"/>
        </w:rPr>
        <w:t xml:space="preserve">at the first </w:t>
      </w:r>
      <w:r w:rsidR="00700BB0">
        <w:rPr>
          <w:color w:val="000000" w:themeColor="text1"/>
        </w:rPr>
        <w:t>initiation</w:t>
      </w:r>
      <w:r w:rsidR="0053112B">
        <w:rPr>
          <w:color w:val="000000" w:themeColor="text1"/>
        </w:rPr>
        <w:t xml:space="preserve"> visit</w:t>
      </w:r>
      <w:r w:rsidR="7D901566" w:rsidRPr="10A43560">
        <w:rPr>
          <w:color w:val="000000" w:themeColor="text1"/>
        </w:rPr>
        <w:t xml:space="preserve"> and should have their </w:t>
      </w:r>
      <w:r w:rsidR="0053112B">
        <w:rPr>
          <w:color w:val="000000" w:themeColor="text1"/>
        </w:rPr>
        <w:t xml:space="preserve">second initiation visit </w:t>
      </w:r>
      <w:r w:rsidR="7D901566" w:rsidRPr="10A43560">
        <w:rPr>
          <w:color w:val="000000" w:themeColor="text1"/>
        </w:rPr>
        <w:t xml:space="preserve">scheduled </w:t>
      </w:r>
      <w:r w:rsidR="00E660E5">
        <w:rPr>
          <w:color w:val="000000" w:themeColor="text1"/>
        </w:rPr>
        <w:t>one month</w:t>
      </w:r>
      <w:r w:rsidR="7D901566" w:rsidRPr="10A43560">
        <w:rPr>
          <w:color w:val="000000" w:themeColor="text1"/>
        </w:rPr>
        <w:t xml:space="preserve"> later</w:t>
      </w:r>
      <w:r w:rsidR="0053112B">
        <w:rPr>
          <w:color w:val="000000" w:themeColor="text1"/>
        </w:rPr>
        <w:t xml:space="preserve"> for</w:t>
      </w:r>
      <w:r w:rsidR="00700BB0">
        <w:rPr>
          <w:color w:val="000000" w:themeColor="text1"/>
        </w:rPr>
        <w:t xml:space="preserve"> </w:t>
      </w:r>
      <w:r w:rsidR="002074D9">
        <w:rPr>
          <w:color w:val="000000" w:themeColor="text1"/>
        </w:rPr>
        <w:t>initiation</w:t>
      </w:r>
      <w:r w:rsidR="00506B68">
        <w:rPr>
          <w:color w:val="000000" w:themeColor="text1"/>
        </w:rPr>
        <w:t xml:space="preserve"> injection 2</w:t>
      </w:r>
      <w:r w:rsidR="257CC9FE" w:rsidRPr="5163B5CD">
        <w:rPr>
          <w:color w:val="000000" w:themeColor="text1"/>
        </w:rPr>
        <w:t>.</w:t>
      </w:r>
      <w:r w:rsidR="00506B68">
        <w:rPr>
          <w:color w:val="000000" w:themeColor="text1"/>
        </w:rPr>
        <w:t xml:space="preserve"> </w:t>
      </w:r>
    </w:p>
    <w:p w14:paraId="67CA28F6" w14:textId="588EFB66" w:rsidR="000A4099" w:rsidRPr="00606B35" w:rsidRDefault="003431E7" w:rsidP="00DD508F">
      <w:pPr>
        <w:pBdr>
          <w:top w:val="nil"/>
          <w:left w:val="nil"/>
          <w:bottom w:val="nil"/>
          <w:right w:val="nil"/>
          <w:between w:val="nil"/>
        </w:pBdr>
        <w:spacing w:after="120" w:line="240" w:lineRule="auto"/>
        <w:rPr>
          <w:color w:val="000000"/>
        </w:rPr>
      </w:pPr>
      <w:r w:rsidRPr="00606B35">
        <w:rPr>
          <w:color w:val="000000" w:themeColor="text1"/>
        </w:rPr>
        <w:t xml:space="preserve">When possible, follow-up visits should be coordinated with visits for other services to reduce the number </w:t>
      </w:r>
      <w:r w:rsidR="00D83E27" w:rsidRPr="00606B35">
        <w:rPr>
          <w:color w:val="000000" w:themeColor="text1"/>
        </w:rPr>
        <w:t xml:space="preserve">of </w:t>
      </w:r>
      <w:r w:rsidRPr="00606B35">
        <w:rPr>
          <w:color w:val="000000" w:themeColor="text1"/>
        </w:rPr>
        <w:t>times a client must return to receive services.</w:t>
      </w:r>
      <w:r w:rsidR="00BF4C42">
        <w:rPr>
          <w:color w:val="000000" w:themeColor="text1"/>
        </w:rPr>
        <w:t xml:space="preserve"> </w:t>
      </w:r>
    </w:p>
    <w:p w14:paraId="063A1948" w14:textId="7D69F236" w:rsidR="000A4099" w:rsidRPr="00606B35" w:rsidRDefault="2F5A875A" w:rsidP="1D9AD929">
      <w:pPr>
        <w:pStyle w:val="Heading2"/>
        <w:spacing w:before="0" w:after="120" w:line="240" w:lineRule="auto"/>
        <w:rPr>
          <w:rFonts w:asciiTheme="minorHAnsi" w:hAnsiTheme="minorHAnsi" w:cstheme="minorBidi"/>
        </w:rPr>
      </w:pPr>
      <w:bookmarkStart w:id="50" w:name="_Toc182989125"/>
      <w:r w:rsidRPr="1D9AD929">
        <w:rPr>
          <w:rFonts w:asciiTheme="minorHAnsi" w:hAnsiTheme="minorHAnsi" w:cstheme="minorBidi"/>
        </w:rPr>
        <w:t xml:space="preserve">Additional </w:t>
      </w:r>
      <w:r w:rsidR="2C07BB32" w:rsidRPr="1D9AD929">
        <w:rPr>
          <w:rFonts w:asciiTheme="minorHAnsi" w:hAnsiTheme="minorHAnsi" w:cstheme="minorBidi"/>
        </w:rPr>
        <w:t>Components of PrEP Initiation Visit</w:t>
      </w:r>
      <w:bookmarkEnd w:id="50"/>
    </w:p>
    <w:p w14:paraId="11A9BD46" w14:textId="303D4FEC" w:rsidR="009058AF" w:rsidRPr="00606B35" w:rsidRDefault="008F55E7" w:rsidP="00DD508F">
      <w:pPr>
        <w:spacing w:after="120" w:line="240" w:lineRule="auto"/>
      </w:pPr>
      <w:r w:rsidRPr="5163B5CD">
        <w:t xml:space="preserve">The following components </w:t>
      </w:r>
      <w:r w:rsidR="00C466EF" w:rsidRPr="5163B5CD">
        <w:t>could be offered</w:t>
      </w:r>
      <w:r w:rsidRPr="5163B5CD">
        <w:t xml:space="preserve"> alongside PrEP services</w:t>
      </w:r>
      <w:r w:rsidR="00C466EF" w:rsidRPr="5163B5CD">
        <w:t xml:space="preserve"> as part of comprehensive, person-</w:t>
      </w:r>
      <w:r w:rsidR="008D0EAF" w:rsidRPr="5163B5CD">
        <w:t>centered</w:t>
      </w:r>
      <w:r w:rsidR="00C466EF" w:rsidRPr="5163B5CD">
        <w:t xml:space="preserve"> care, depending on </w:t>
      </w:r>
      <w:r w:rsidR="008F5667">
        <w:t>a</w:t>
      </w:r>
      <w:r w:rsidR="00C466EF" w:rsidRPr="5163B5CD">
        <w:t xml:space="preserve"> </w:t>
      </w:r>
      <w:r w:rsidR="0075217A" w:rsidRPr="5163B5CD">
        <w:t>client’s</w:t>
      </w:r>
      <w:r w:rsidR="00C466EF" w:rsidRPr="5163B5CD">
        <w:t xml:space="preserve"> needs and preferences</w:t>
      </w:r>
      <w:r w:rsidR="008D0EAF" w:rsidRPr="5163B5CD">
        <w:t xml:space="preserve">. This list is not </w:t>
      </w:r>
      <w:r w:rsidR="0075217A" w:rsidRPr="5163B5CD">
        <w:t>exhaustive,</w:t>
      </w:r>
      <w:r w:rsidR="008D0EAF" w:rsidRPr="5163B5CD">
        <w:t xml:space="preserve"> an</w:t>
      </w:r>
      <w:r w:rsidR="00243CC0" w:rsidRPr="5163B5CD">
        <w:t>d services needed</w:t>
      </w:r>
      <w:r w:rsidR="00E86217" w:rsidRPr="5163B5CD">
        <w:t xml:space="preserve"> will vary by individual and population.</w:t>
      </w:r>
      <w:r w:rsidR="232D0BEF" w:rsidRPr="5163B5CD">
        <w:t xml:space="preserve"> PrEP should still be provided even if these services are not available or if the client is unable to or does not wish to access these services.</w:t>
      </w:r>
    </w:p>
    <w:p w14:paraId="428495AB" w14:textId="77777777" w:rsidR="00B45E81" w:rsidRDefault="00B45E81">
      <w:pPr>
        <w:rPr>
          <w:b/>
        </w:rPr>
      </w:pPr>
      <w:r>
        <w:rPr>
          <w:b/>
        </w:rPr>
        <w:br w:type="page"/>
      </w:r>
    </w:p>
    <w:p w14:paraId="691E31CD" w14:textId="61AF0740" w:rsidR="007D2BF7" w:rsidRPr="00606B35" w:rsidRDefault="007D2BF7" w:rsidP="00DD508F">
      <w:pPr>
        <w:spacing w:after="120" w:line="240" w:lineRule="auto"/>
        <w:rPr>
          <w:b/>
          <w:i/>
        </w:rPr>
      </w:pPr>
      <w:r w:rsidRPr="0294A27B">
        <w:rPr>
          <w:b/>
        </w:rPr>
        <w:lastRenderedPageBreak/>
        <w:t xml:space="preserve">Table </w:t>
      </w:r>
      <w:r w:rsidR="00092351">
        <w:rPr>
          <w:b/>
        </w:rPr>
        <w:t>1</w:t>
      </w:r>
      <w:r w:rsidR="00ED1E15" w:rsidRPr="0294A27B">
        <w:rPr>
          <w:b/>
        </w:rPr>
        <w:t>.</w:t>
      </w:r>
      <w:r w:rsidR="00AA79B2" w:rsidRPr="0294A27B">
        <w:rPr>
          <w:b/>
        </w:rPr>
        <w:t xml:space="preserve"> </w:t>
      </w:r>
      <w:r w:rsidR="002C24A6" w:rsidRPr="0294A27B">
        <w:rPr>
          <w:b/>
        </w:rPr>
        <w:t>Ad</w:t>
      </w:r>
      <w:r w:rsidR="00AF2F0A" w:rsidRPr="0294A27B">
        <w:rPr>
          <w:b/>
        </w:rPr>
        <w:t>ditional</w:t>
      </w:r>
      <w:r w:rsidR="00293FE5" w:rsidRPr="0294A27B">
        <w:rPr>
          <w:b/>
        </w:rPr>
        <w:t xml:space="preserve"> </w:t>
      </w:r>
      <w:r w:rsidR="00AA79B2" w:rsidRPr="0294A27B">
        <w:rPr>
          <w:b/>
        </w:rPr>
        <w:t>Components of PrEP Initiation Visit</w:t>
      </w:r>
    </w:p>
    <w:tbl>
      <w:tblPr>
        <w:tblW w:w="0" w:type="auto"/>
        <w:tblLook w:val="04A0" w:firstRow="1" w:lastRow="0" w:firstColumn="1" w:lastColumn="0" w:noHBand="0" w:noVBand="1"/>
      </w:tblPr>
      <w:tblGrid>
        <w:gridCol w:w="2921"/>
        <w:gridCol w:w="7535"/>
      </w:tblGrid>
      <w:tr w:rsidR="000A6FA6" w:rsidRPr="00606B35" w14:paraId="66532F05" w14:textId="77777777" w:rsidTr="5FCE61C9">
        <w:trPr>
          <w:tblHeader/>
        </w:trPr>
        <w:tc>
          <w:tcPr>
            <w:tcW w:w="2921" w:type="dxa"/>
            <w:shd w:val="clear" w:color="auto" w:fill="4472C4" w:themeFill="accent1"/>
          </w:tcPr>
          <w:p w14:paraId="7986C5FB" w14:textId="74A880D8" w:rsidR="000A6FA6" w:rsidRPr="00606B35" w:rsidRDefault="008F55E7" w:rsidP="00DD508F">
            <w:pPr>
              <w:spacing w:after="120"/>
              <w:rPr>
                <w:rFonts w:cstheme="minorHAnsi"/>
                <w:iCs/>
              </w:rPr>
            </w:pPr>
            <w:r w:rsidRPr="00606B35">
              <w:rPr>
                <w:rFonts w:cstheme="minorHAnsi"/>
                <w:b/>
                <w:color w:val="FFFFFF"/>
              </w:rPr>
              <w:t>Component</w:t>
            </w:r>
          </w:p>
        </w:tc>
        <w:tc>
          <w:tcPr>
            <w:tcW w:w="7535" w:type="dxa"/>
            <w:shd w:val="clear" w:color="auto" w:fill="4472C4" w:themeFill="accent1"/>
          </w:tcPr>
          <w:p w14:paraId="426636DA" w14:textId="28276CAA" w:rsidR="000A6FA6" w:rsidRPr="00606B35" w:rsidRDefault="000A6FA6" w:rsidP="00DD508F">
            <w:pPr>
              <w:spacing w:after="120"/>
              <w:rPr>
                <w:rFonts w:cstheme="minorHAnsi"/>
                <w:iCs/>
              </w:rPr>
            </w:pPr>
            <w:r w:rsidRPr="00606B35">
              <w:rPr>
                <w:rFonts w:cstheme="minorHAnsi"/>
                <w:b/>
                <w:color w:val="FFFFFF"/>
              </w:rPr>
              <w:t>Action</w:t>
            </w:r>
          </w:p>
        </w:tc>
      </w:tr>
      <w:tr w:rsidR="000A6FA6" w:rsidRPr="00606B35" w14:paraId="5061DC89" w14:textId="77777777" w:rsidTr="5FCE61C9">
        <w:trPr>
          <w:trHeight w:val="3914"/>
        </w:trPr>
        <w:tc>
          <w:tcPr>
            <w:tcW w:w="2921" w:type="dxa"/>
          </w:tcPr>
          <w:p w14:paraId="592B8DCD" w14:textId="699CDDDE" w:rsidR="000A6FA6" w:rsidRPr="00606B35" w:rsidRDefault="007C2F79" w:rsidP="00DD508F">
            <w:pPr>
              <w:spacing w:after="120"/>
              <w:rPr>
                <w:rFonts w:cstheme="minorHAnsi"/>
                <w:bCs/>
              </w:rPr>
            </w:pPr>
            <w:r w:rsidRPr="00606B35">
              <w:rPr>
                <w:rFonts w:cstheme="minorHAnsi"/>
                <w:bCs/>
              </w:rPr>
              <w:t>S</w:t>
            </w:r>
            <w:r w:rsidR="000A6FA6" w:rsidRPr="00606B35">
              <w:rPr>
                <w:rFonts w:cstheme="minorHAnsi"/>
                <w:bCs/>
              </w:rPr>
              <w:t>creening</w:t>
            </w:r>
            <w:r w:rsidR="0069549E" w:rsidRPr="00606B35">
              <w:rPr>
                <w:rFonts w:cstheme="minorHAnsi"/>
                <w:bCs/>
              </w:rPr>
              <w:t>, testing, and treatment of</w:t>
            </w:r>
            <w:r w:rsidRPr="00606B35">
              <w:rPr>
                <w:rFonts w:cstheme="minorHAnsi"/>
                <w:bCs/>
              </w:rPr>
              <w:t xml:space="preserve"> other</w:t>
            </w:r>
            <w:r w:rsidR="000A6FA6" w:rsidRPr="00606B35">
              <w:rPr>
                <w:rFonts w:cstheme="minorHAnsi"/>
                <w:bCs/>
              </w:rPr>
              <w:t xml:space="preserve"> STIs</w:t>
            </w:r>
          </w:p>
        </w:tc>
        <w:tc>
          <w:tcPr>
            <w:tcW w:w="7535" w:type="dxa"/>
          </w:tcPr>
          <w:p w14:paraId="236A3058" w14:textId="44DE9FD4" w:rsidR="00426E6F" w:rsidRDefault="0069549E" w:rsidP="00DD508F">
            <w:pPr>
              <w:spacing w:after="120"/>
              <w:rPr>
                <w:color w:val="000000"/>
              </w:rPr>
            </w:pPr>
            <w:r w:rsidRPr="0294A27B">
              <w:rPr>
                <w:color w:val="000000" w:themeColor="text1"/>
              </w:rPr>
              <w:t xml:space="preserve">PrEP can be used if the client has STIs other than HIV and during treatment of STIs other than HIV. Manage STIs per STI standard treatment guidelines. If testing is not possible, symptomatically manage STIs per STI standard treatment guidelines. </w:t>
            </w:r>
          </w:p>
          <w:p w14:paraId="295AB8C5" w14:textId="1A336F6C" w:rsidR="00F86A39" w:rsidRDefault="00F86A39" w:rsidP="00DD508F">
            <w:pPr>
              <w:spacing w:after="120"/>
            </w:pPr>
            <w:r w:rsidRPr="00606B35">
              <w:t xml:space="preserve">PrEP should still be provided even if these services are not available or if the client is unable to or does not wish to access these services. </w:t>
            </w:r>
          </w:p>
          <w:p w14:paraId="670D5E57" w14:textId="6777D401" w:rsidR="00F86A39" w:rsidRPr="00AD48D6" w:rsidRDefault="00F86A39" w:rsidP="00DD508F">
            <w:pPr>
              <w:spacing w:after="120"/>
              <w:rPr>
                <w:rFonts w:cstheme="minorHAnsi"/>
                <w:b/>
              </w:rPr>
            </w:pPr>
            <w:r w:rsidRPr="00AD48D6">
              <w:rPr>
                <w:rFonts w:cstheme="minorHAnsi"/>
                <w:b/>
              </w:rPr>
              <w:t>Hepatitis B</w:t>
            </w:r>
            <w:r w:rsidR="00F20F01">
              <w:rPr>
                <w:rFonts w:cstheme="minorHAnsi"/>
                <w:b/>
              </w:rPr>
              <w:t xml:space="preserve"> </w:t>
            </w:r>
          </w:p>
          <w:p w14:paraId="43E7260C" w14:textId="6C3836BF" w:rsidR="005776D9" w:rsidRPr="00AD48D6" w:rsidRDefault="7B48E1C1" w:rsidP="00F86A39">
            <w:pPr>
              <w:spacing w:after="120"/>
            </w:pPr>
            <w:r>
              <w:t>Testing</w:t>
            </w:r>
            <w:r w:rsidR="2C8EBF68">
              <w:t xml:space="preserve"> clients using</w:t>
            </w:r>
            <w:r>
              <w:t xml:space="preserve"> PrEP for hepatitis B</w:t>
            </w:r>
            <w:r w:rsidR="003463FA">
              <w:t xml:space="preserve"> </w:t>
            </w:r>
            <w:r>
              <w:t xml:space="preserve">at or within </w:t>
            </w:r>
            <w:r w:rsidR="001A2FC2">
              <w:t>three</w:t>
            </w:r>
            <w:r>
              <w:t xml:space="preserve"> months of PrEP initiation </w:t>
            </w:r>
            <w:r w:rsidR="1FC6019B">
              <w:t>is strong</w:t>
            </w:r>
            <w:r w:rsidR="114EA330">
              <w:t>ly</w:t>
            </w:r>
            <w:r w:rsidR="1FC6019B">
              <w:t xml:space="preserve"> suggested where feasible</w:t>
            </w:r>
            <w:r w:rsidR="05C585B5">
              <w:t xml:space="preserve">. </w:t>
            </w:r>
            <w:r w:rsidR="002A225F">
              <w:t>Oral PrEP</w:t>
            </w:r>
            <w:r w:rsidR="1FC6019B">
              <w:t xml:space="preserve"> and the PrEP ring can be safely offered to </w:t>
            </w:r>
            <w:r w:rsidR="00DA6312">
              <w:t xml:space="preserve">people </w:t>
            </w:r>
            <w:r w:rsidR="1FC6019B">
              <w:t xml:space="preserve">with </w:t>
            </w:r>
            <w:r w:rsidR="005217ED">
              <w:t xml:space="preserve">acute </w:t>
            </w:r>
            <w:r w:rsidR="44B32402">
              <w:t>h</w:t>
            </w:r>
            <w:r w:rsidR="1FC6019B">
              <w:t>epatitis B</w:t>
            </w:r>
            <w:r w:rsidR="3454AD8B">
              <w:t>, so awaiting hepatitis B test results should not delay initiation</w:t>
            </w:r>
            <w:r w:rsidR="1FC6019B">
              <w:t>. If tested for hepatitis B</w:t>
            </w:r>
            <w:r w:rsidR="648C2F9D">
              <w:t xml:space="preserve">, clients who are negative can be offered hepatitis B </w:t>
            </w:r>
            <w:r w:rsidR="02CB7539">
              <w:t>vaccination</w:t>
            </w:r>
            <w:r w:rsidR="648C2F9D">
              <w:t xml:space="preserve"> (per national hepatitis guidelines, if available). </w:t>
            </w:r>
            <w:r w:rsidR="114EA330">
              <w:t>Clients with hepatitis B who are not interested in oral PrEP should be referred to relevant management/treatment services</w:t>
            </w:r>
            <w:r w:rsidR="69E79E20">
              <w:t xml:space="preserve">. Clients </w:t>
            </w:r>
            <w:r w:rsidR="26411966">
              <w:t xml:space="preserve">who stop using oral PrEP should also be referred to relevant management/treatment services </w:t>
            </w:r>
            <w:r w:rsidR="002C065E" w:rsidRPr="00385367">
              <w:t>bec</w:t>
            </w:r>
            <w:r w:rsidR="26411966" w:rsidRPr="00385367">
              <w:t>a</w:t>
            </w:r>
            <w:r w:rsidR="002C065E" w:rsidRPr="00385367">
              <w:t>u</w:t>
            </w:r>
            <w:r w:rsidR="26411966" w:rsidRPr="00385367">
              <w:t>s</w:t>
            </w:r>
            <w:r w:rsidR="002C065E" w:rsidRPr="00385367">
              <w:t>e</w:t>
            </w:r>
            <w:r w:rsidR="26411966" w:rsidRPr="00385367">
              <w:t xml:space="preserve"> s</w:t>
            </w:r>
            <w:r w:rsidR="05C585B5" w:rsidRPr="00385367">
              <w:t>topping oral PrEP has implications for the management of hepatitis B.</w:t>
            </w:r>
            <w:r w:rsidR="00684CC0" w:rsidRPr="00385367">
              <w:t xml:space="preserve"> </w:t>
            </w:r>
          </w:p>
          <w:p w14:paraId="26AA8097" w14:textId="50171837" w:rsidR="3D339779" w:rsidRDefault="516EC9F6" w:rsidP="5163B5CD">
            <w:pPr>
              <w:spacing w:after="120"/>
              <w:rPr>
                <w:rFonts w:ascii="Calibri" w:eastAsia="Calibri" w:hAnsi="Calibri" w:cs="Calibri"/>
              </w:rPr>
            </w:pPr>
            <w:r w:rsidRPr="5163B5CD">
              <w:rPr>
                <w:rFonts w:ascii="Calibri" w:eastAsia="Calibri" w:hAnsi="Calibri" w:cs="Calibri"/>
              </w:rPr>
              <w:t>CAB PrEP should not be initiated in people with acute viral hepatitis and should be discontinued if hepatoxicity is confirmed.</w:t>
            </w:r>
            <w:r w:rsidR="72A7B9DD" w:rsidRPr="5163B5CD">
              <w:rPr>
                <w:rFonts w:ascii="Calibri" w:eastAsia="Calibri" w:hAnsi="Calibri" w:cs="Calibri"/>
              </w:rPr>
              <w:t xml:space="preserve"> </w:t>
            </w:r>
            <w:r w:rsidR="6FA8879B" w:rsidRPr="5163B5CD">
              <w:rPr>
                <w:rFonts w:ascii="Calibri" w:eastAsia="Calibri" w:hAnsi="Calibri" w:cs="Calibri"/>
              </w:rPr>
              <w:t>If</w:t>
            </w:r>
            <w:r w:rsidR="62AE5E70" w:rsidRPr="5163B5CD">
              <w:rPr>
                <w:rFonts w:ascii="Calibri" w:eastAsia="Calibri" w:hAnsi="Calibri" w:cs="Calibri"/>
              </w:rPr>
              <w:t xml:space="preserve"> </w:t>
            </w:r>
            <w:r w:rsidR="00D9111A">
              <w:rPr>
                <w:rFonts w:ascii="Calibri" w:eastAsia="Calibri" w:hAnsi="Calibri" w:cs="Calibri"/>
              </w:rPr>
              <w:t xml:space="preserve">a client is </w:t>
            </w:r>
            <w:r w:rsidR="62AE5E70" w:rsidRPr="5163B5CD">
              <w:rPr>
                <w:rFonts w:ascii="Calibri" w:eastAsia="Calibri" w:hAnsi="Calibri" w:cs="Calibri"/>
              </w:rPr>
              <w:t xml:space="preserve">tested and the </w:t>
            </w:r>
            <w:r w:rsidR="6FA8879B" w:rsidRPr="5163B5CD">
              <w:rPr>
                <w:rFonts w:ascii="Calibri" w:eastAsia="Calibri" w:hAnsi="Calibri" w:cs="Calibri"/>
              </w:rPr>
              <w:t xml:space="preserve">hepatitis B surface antigen (HBsAg) test is reactive </w:t>
            </w:r>
            <w:r w:rsidR="00D75B10">
              <w:rPr>
                <w:rFonts w:ascii="Calibri" w:eastAsia="Calibri" w:hAnsi="Calibri" w:cs="Calibri"/>
              </w:rPr>
              <w:t>(</w:t>
            </w:r>
            <w:r w:rsidR="6FA8879B" w:rsidRPr="5163B5CD">
              <w:rPr>
                <w:rFonts w:ascii="Calibri" w:eastAsia="Calibri" w:hAnsi="Calibri" w:cs="Calibri"/>
              </w:rPr>
              <w:t>indicat</w:t>
            </w:r>
            <w:r w:rsidR="00D75B10">
              <w:rPr>
                <w:rFonts w:ascii="Calibri" w:eastAsia="Calibri" w:hAnsi="Calibri" w:cs="Calibri"/>
              </w:rPr>
              <w:t>ing</w:t>
            </w:r>
            <w:r w:rsidR="6FA8879B" w:rsidRPr="5163B5CD">
              <w:rPr>
                <w:rFonts w:ascii="Calibri" w:eastAsia="Calibri" w:hAnsi="Calibri" w:cs="Calibri"/>
              </w:rPr>
              <w:t xml:space="preserve"> </w:t>
            </w:r>
            <w:r w:rsidR="00454B75">
              <w:rPr>
                <w:rFonts w:ascii="Calibri" w:eastAsia="Calibri" w:hAnsi="Calibri" w:cs="Calibri"/>
              </w:rPr>
              <w:t>hepatitis B</w:t>
            </w:r>
            <w:r w:rsidR="6FA8879B" w:rsidRPr="5163B5CD">
              <w:rPr>
                <w:rFonts w:ascii="Calibri" w:eastAsia="Calibri" w:hAnsi="Calibri" w:cs="Calibri"/>
              </w:rPr>
              <w:t xml:space="preserve"> infection</w:t>
            </w:r>
            <w:r w:rsidR="00D75B10">
              <w:rPr>
                <w:rFonts w:ascii="Calibri" w:eastAsia="Calibri" w:hAnsi="Calibri" w:cs="Calibri"/>
              </w:rPr>
              <w:t>)</w:t>
            </w:r>
            <w:r w:rsidR="6FA8879B" w:rsidRPr="5163B5CD">
              <w:rPr>
                <w:rFonts w:ascii="Calibri" w:eastAsia="Calibri" w:hAnsi="Calibri" w:cs="Calibri"/>
              </w:rPr>
              <w:t xml:space="preserve">, needs for HIV prevention and </w:t>
            </w:r>
            <w:r w:rsidR="00F20F01">
              <w:rPr>
                <w:rFonts w:ascii="Calibri" w:eastAsia="Calibri" w:hAnsi="Calibri" w:cs="Calibri"/>
              </w:rPr>
              <w:t>hepatitis B</w:t>
            </w:r>
            <w:r w:rsidR="00F20F01" w:rsidRPr="5163B5CD">
              <w:rPr>
                <w:rFonts w:ascii="Calibri" w:eastAsia="Calibri" w:hAnsi="Calibri" w:cs="Calibri"/>
              </w:rPr>
              <w:t xml:space="preserve"> </w:t>
            </w:r>
            <w:r w:rsidR="6FA8879B" w:rsidRPr="5163B5CD">
              <w:rPr>
                <w:rFonts w:ascii="Calibri" w:eastAsia="Calibri" w:hAnsi="Calibri" w:cs="Calibri"/>
              </w:rPr>
              <w:t xml:space="preserve">treatment should be evaluated on a case-by-case basis, and PrEP and </w:t>
            </w:r>
            <w:r w:rsidR="00E129C6">
              <w:rPr>
                <w:rFonts w:ascii="Calibri" w:eastAsia="Calibri" w:hAnsi="Calibri" w:cs="Calibri"/>
              </w:rPr>
              <w:t>hepatitis B</w:t>
            </w:r>
            <w:r w:rsidR="00E129C6" w:rsidRPr="5163B5CD">
              <w:rPr>
                <w:rFonts w:ascii="Calibri" w:eastAsia="Calibri" w:hAnsi="Calibri" w:cs="Calibri"/>
              </w:rPr>
              <w:t xml:space="preserve"> </w:t>
            </w:r>
            <w:r w:rsidR="6FA8879B" w:rsidRPr="5163B5CD">
              <w:rPr>
                <w:rFonts w:ascii="Calibri" w:eastAsia="Calibri" w:hAnsi="Calibri" w:cs="Calibri"/>
              </w:rPr>
              <w:t>treatment providers should (where possible) jointly manage these cases. CAB</w:t>
            </w:r>
            <w:r w:rsidR="004877B7">
              <w:rPr>
                <w:rFonts w:ascii="Calibri" w:eastAsia="Calibri" w:hAnsi="Calibri" w:cs="Calibri"/>
              </w:rPr>
              <w:t xml:space="preserve"> PrEP</w:t>
            </w:r>
            <w:r w:rsidR="6FA8879B" w:rsidRPr="5163B5CD">
              <w:rPr>
                <w:rFonts w:ascii="Calibri" w:eastAsia="Calibri" w:hAnsi="Calibri" w:cs="Calibri"/>
              </w:rPr>
              <w:t xml:space="preserve"> is not active against </w:t>
            </w:r>
            <w:r w:rsidR="00F20F01">
              <w:rPr>
                <w:rFonts w:ascii="Calibri" w:eastAsia="Calibri" w:hAnsi="Calibri" w:cs="Calibri"/>
              </w:rPr>
              <w:t>hepatitis B</w:t>
            </w:r>
            <w:r w:rsidR="6FA8879B" w:rsidRPr="5163B5CD">
              <w:rPr>
                <w:rFonts w:ascii="Calibri" w:eastAsia="Calibri" w:hAnsi="Calibri" w:cs="Calibri"/>
              </w:rPr>
              <w:t xml:space="preserve">. For people eligible for </w:t>
            </w:r>
            <w:r w:rsidR="00E129C6">
              <w:rPr>
                <w:rFonts w:ascii="Calibri" w:eastAsia="Calibri" w:hAnsi="Calibri" w:cs="Calibri"/>
              </w:rPr>
              <w:t>hepatitis B</w:t>
            </w:r>
            <w:r w:rsidR="00E129C6" w:rsidRPr="5163B5CD">
              <w:rPr>
                <w:rFonts w:ascii="Calibri" w:eastAsia="Calibri" w:hAnsi="Calibri" w:cs="Calibri"/>
              </w:rPr>
              <w:t xml:space="preserve"> </w:t>
            </w:r>
            <w:r w:rsidR="6FA8879B" w:rsidRPr="5163B5CD">
              <w:rPr>
                <w:rFonts w:ascii="Calibri" w:eastAsia="Calibri" w:hAnsi="Calibri" w:cs="Calibri"/>
              </w:rPr>
              <w:t xml:space="preserve">treatment per WHO guidance, oral PrEP should be offered as the preferred PrEP option. Even where there is no indication for treatment for </w:t>
            </w:r>
            <w:r w:rsidR="00E129C6">
              <w:rPr>
                <w:rFonts w:ascii="Calibri" w:eastAsia="Calibri" w:hAnsi="Calibri" w:cs="Calibri"/>
              </w:rPr>
              <w:t>hepatitis B</w:t>
            </w:r>
            <w:r w:rsidR="6FA8879B" w:rsidRPr="5163B5CD">
              <w:rPr>
                <w:rFonts w:ascii="Calibri" w:eastAsia="Calibri" w:hAnsi="Calibri" w:cs="Calibri"/>
              </w:rPr>
              <w:t xml:space="preserve">, oral PrEP should be strongly considered, as it will both suppress </w:t>
            </w:r>
            <w:r w:rsidR="00F20F01">
              <w:rPr>
                <w:rFonts w:ascii="Calibri" w:eastAsia="Calibri" w:hAnsi="Calibri" w:cs="Calibri"/>
              </w:rPr>
              <w:t>hepatitis B</w:t>
            </w:r>
            <w:r w:rsidR="00F20F01" w:rsidRPr="5163B5CD">
              <w:rPr>
                <w:rFonts w:ascii="Calibri" w:eastAsia="Calibri" w:hAnsi="Calibri" w:cs="Calibri"/>
              </w:rPr>
              <w:t xml:space="preserve"> </w:t>
            </w:r>
            <w:r w:rsidR="6FA8879B" w:rsidRPr="5163B5CD">
              <w:rPr>
                <w:rFonts w:ascii="Calibri" w:eastAsia="Calibri" w:hAnsi="Calibri" w:cs="Calibri"/>
              </w:rPr>
              <w:t>and prevent HIV.</w:t>
            </w:r>
          </w:p>
          <w:p w14:paraId="5ACAF5F6" w14:textId="0925695F" w:rsidR="00F86A39" w:rsidRPr="00AD48D6" w:rsidRDefault="25575AD5" w:rsidP="10A43560">
            <w:pPr>
              <w:spacing w:after="120"/>
              <w:rPr>
                <w:b/>
              </w:rPr>
            </w:pPr>
            <w:r w:rsidRPr="007350CA">
              <w:t>Availability of or</w:t>
            </w:r>
            <w:r>
              <w:t xml:space="preserve"> access to hepatitis B testing should not be a barrier to PrEP initiation or use. If </w:t>
            </w:r>
            <w:r w:rsidR="0059390C">
              <w:t xml:space="preserve">hepatitis B testing is </w:t>
            </w:r>
            <w:r>
              <w:t>conducted, PrEP can be initiated before t</w:t>
            </w:r>
            <w:r w:rsidR="0059390C">
              <w:t>he</w:t>
            </w:r>
            <w:r>
              <w:t xml:space="preserve"> results are available.</w:t>
            </w:r>
            <w:r w:rsidRPr="10A43560">
              <w:rPr>
                <w:b/>
                <w:bCs/>
              </w:rPr>
              <w:t xml:space="preserve"> </w:t>
            </w:r>
          </w:p>
          <w:p w14:paraId="2486B44D" w14:textId="521198F9" w:rsidR="00F86A39" w:rsidRPr="00AD48D6" w:rsidRDefault="00F86A39" w:rsidP="00DD508F">
            <w:pPr>
              <w:spacing w:after="120"/>
              <w:rPr>
                <w:b/>
              </w:rPr>
            </w:pPr>
            <w:r w:rsidRPr="10A43560">
              <w:rPr>
                <w:b/>
              </w:rPr>
              <w:t>Hepatitis C</w:t>
            </w:r>
          </w:p>
          <w:p w14:paraId="6E80FB9A" w14:textId="37C62C1B" w:rsidR="510731AA" w:rsidRDefault="3387308F" w:rsidP="5163B5CD">
            <w:pPr>
              <w:spacing w:after="120"/>
              <w:rPr>
                <w:color w:val="000000" w:themeColor="text1"/>
              </w:rPr>
            </w:pPr>
            <w:r>
              <w:t>Testing for</w:t>
            </w:r>
            <w:r w:rsidR="79CFE693">
              <w:t xml:space="preserve"> hepatitis </w:t>
            </w:r>
            <w:r w:rsidR="223E2E7D">
              <w:t>C</w:t>
            </w:r>
            <w:r w:rsidR="79CFE693">
              <w:t xml:space="preserve"> </w:t>
            </w:r>
            <w:r>
              <w:t xml:space="preserve">is </w:t>
            </w:r>
            <w:r w:rsidR="5966E737">
              <w:t>strong</w:t>
            </w:r>
            <w:r w:rsidR="754EC422">
              <w:t>ly</w:t>
            </w:r>
            <w:r w:rsidR="5966E737">
              <w:t xml:space="preserve"> encouraged at or within the first three months of PrEP initiation and every 12 months thereafter where PrEP services are provided to populations with </w:t>
            </w:r>
            <w:r w:rsidR="7C9C8DBB">
              <w:t xml:space="preserve">increased </w:t>
            </w:r>
            <w:r w:rsidR="00C747E0">
              <w:t>likelihood of</w:t>
            </w:r>
            <w:r w:rsidR="5966E737">
              <w:t xml:space="preserve"> hepatitis C acquisition</w:t>
            </w:r>
            <w:r w:rsidR="376CEF24">
              <w:t xml:space="preserve">. </w:t>
            </w:r>
            <w:r w:rsidR="007F63DB">
              <w:t>Oral PrEP</w:t>
            </w:r>
            <w:r w:rsidR="62BA1842">
              <w:t xml:space="preserve"> and the PrEP ring can be safely offered to </w:t>
            </w:r>
            <w:r w:rsidR="008F7CEF">
              <w:t xml:space="preserve">people </w:t>
            </w:r>
            <w:r w:rsidR="62BA1842">
              <w:t xml:space="preserve">with hepatitis C, so awaiting hepatitis C test results should not delay initiation. </w:t>
            </w:r>
          </w:p>
          <w:p w14:paraId="76EBD546" w14:textId="27D4CD92" w:rsidR="00184833" w:rsidRPr="00AD48D6" w:rsidRDefault="3059A443" w:rsidP="00AD48D6">
            <w:pPr>
              <w:spacing w:after="120"/>
              <w:rPr>
                <w:b/>
              </w:rPr>
            </w:pPr>
            <w:r w:rsidRPr="5163B5CD">
              <w:rPr>
                <w:rFonts w:ascii="Calibri" w:eastAsia="Calibri" w:hAnsi="Calibri" w:cs="Calibri"/>
              </w:rPr>
              <w:t xml:space="preserve">CAB PrEP should not be initiated in people with acute viral hepatitis and should be discontinued if hepatoxicity is confirmed. If a hepatitis C serology test is reactive and chronic infection has been confirmed, </w:t>
            </w:r>
            <w:r w:rsidR="00F20F01">
              <w:rPr>
                <w:rFonts w:ascii="Calibri" w:eastAsia="Calibri" w:hAnsi="Calibri" w:cs="Calibri"/>
              </w:rPr>
              <w:t>hepatitis C</w:t>
            </w:r>
            <w:r w:rsidR="00F20F01" w:rsidRPr="5163B5CD">
              <w:rPr>
                <w:rFonts w:ascii="Calibri" w:eastAsia="Calibri" w:hAnsi="Calibri" w:cs="Calibri"/>
              </w:rPr>
              <w:t xml:space="preserve"> </w:t>
            </w:r>
            <w:r w:rsidRPr="5163B5CD">
              <w:rPr>
                <w:rFonts w:ascii="Calibri" w:eastAsia="Calibri" w:hAnsi="Calibri" w:cs="Calibri"/>
              </w:rPr>
              <w:t xml:space="preserve">treatment should be offered per WHO guidelines, and PrEP and </w:t>
            </w:r>
            <w:r w:rsidR="00F20F01">
              <w:rPr>
                <w:rFonts w:ascii="Calibri" w:eastAsia="Calibri" w:hAnsi="Calibri" w:cs="Calibri"/>
              </w:rPr>
              <w:t>hepatitis C</w:t>
            </w:r>
            <w:r w:rsidR="00F20F01" w:rsidRPr="5163B5CD">
              <w:rPr>
                <w:rFonts w:ascii="Calibri" w:eastAsia="Calibri" w:hAnsi="Calibri" w:cs="Calibri"/>
              </w:rPr>
              <w:t xml:space="preserve"> </w:t>
            </w:r>
            <w:r w:rsidRPr="5163B5CD">
              <w:rPr>
                <w:rFonts w:ascii="Calibri" w:eastAsia="Calibri" w:hAnsi="Calibri" w:cs="Calibri"/>
              </w:rPr>
              <w:t>treatment providers should (where possible) jointly manage these cases. CAB</w:t>
            </w:r>
            <w:r w:rsidR="00E129C6">
              <w:rPr>
                <w:rFonts w:ascii="Calibri" w:eastAsia="Calibri" w:hAnsi="Calibri" w:cs="Calibri"/>
              </w:rPr>
              <w:t xml:space="preserve"> </w:t>
            </w:r>
            <w:r w:rsidR="00B60A8F">
              <w:rPr>
                <w:rFonts w:ascii="Calibri" w:eastAsia="Calibri" w:hAnsi="Calibri" w:cs="Calibri"/>
              </w:rPr>
              <w:t>PrEP</w:t>
            </w:r>
            <w:r w:rsidR="00B60A8F" w:rsidRPr="5163B5CD">
              <w:rPr>
                <w:rFonts w:ascii="Calibri" w:eastAsia="Calibri" w:hAnsi="Calibri" w:cs="Calibri"/>
              </w:rPr>
              <w:t xml:space="preserve"> </w:t>
            </w:r>
            <w:r w:rsidRPr="5163B5CD">
              <w:rPr>
                <w:rFonts w:ascii="Calibri" w:eastAsia="Calibri" w:hAnsi="Calibri" w:cs="Calibri"/>
              </w:rPr>
              <w:t xml:space="preserve">is not active against </w:t>
            </w:r>
            <w:r w:rsidR="00F20F01">
              <w:rPr>
                <w:rFonts w:ascii="Calibri" w:eastAsia="Calibri" w:hAnsi="Calibri" w:cs="Calibri"/>
              </w:rPr>
              <w:t xml:space="preserve">hepatitis </w:t>
            </w:r>
            <w:r w:rsidR="29838544" w:rsidRPr="19B32549">
              <w:rPr>
                <w:rFonts w:ascii="Calibri" w:eastAsia="Calibri" w:hAnsi="Calibri" w:cs="Calibri"/>
              </w:rPr>
              <w:t>C.</w:t>
            </w:r>
            <w:r w:rsidRPr="5163B5CD">
              <w:rPr>
                <w:rFonts w:ascii="Calibri" w:eastAsia="Calibri" w:hAnsi="Calibri" w:cs="Calibri"/>
              </w:rPr>
              <w:t xml:space="preserve"> There </w:t>
            </w:r>
            <w:bookmarkStart w:id="51" w:name="_Int_gDFB46CO"/>
            <w:proofErr w:type="gramStart"/>
            <w:r w:rsidRPr="5163B5CD">
              <w:rPr>
                <w:rFonts w:ascii="Calibri" w:eastAsia="Calibri" w:hAnsi="Calibri" w:cs="Calibri"/>
              </w:rPr>
              <w:t>are</w:t>
            </w:r>
            <w:bookmarkEnd w:id="51"/>
            <w:proofErr w:type="gramEnd"/>
            <w:r w:rsidRPr="5163B5CD">
              <w:rPr>
                <w:rFonts w:ascii="Calibri" w:eastAsia="Calibri" w:hAnsi="Calibri" w:cs="Calibri"/>
              </w:rPr>
              <w:t xml:space="preserve"> no known drug–drug interactions between CAB</w:t>
            </w:r>
            <w:r w:rsidR="00574818">
              <w:rPr>
                <w:rFonts w:ascii="Calibri" w:eastAsia="Calibri" w:hAnsi="Calibri" w:cs="Calibri"/>
              </w:rPr>
              <w:t xml:space="preserve"> </w:t>
            </w:r>
            <w:r w:rsidR="00B60A8F">
              <w:rPr>
                <w:rFonts w:ascii="Calibri" w:eastAsia="Calibri" w:hAnsi="Calibri" w:cs="Calibri"/>
              </w:rPr>
              <w:t>PrEP</w:t>
            </w:r>
            <w:r w:rsidR="00B60A8F" w:rsidRPr="5163B5CD">
              <w:rPr>
                <w:rFonts w:ascii="Calibri" w:eastAsia="Calibri" w:hAnsi="Calibri" w:cs="Calibri"/>
              </w:rPr>
              <w:t xml:space="preserve"> </w:t>
            </w:r>
            <w:r w:rsidRPr="5163B5CD">
              <w:rPr>
                <w:rFonts w:ascii="Calibri" w:eastAsia="Calibri" w:hAnsi="Calibri" w:cs="Calibri"/>
              </w:rPr>
              <w:t xml:space="preserve">and treatment drugs for </w:t>
            </w:r>
            <w:r w:rsidR="00E129C6">
              <w:rPr>
                <w:rFonts w:ascii="Calibri" w:eastAsia="Calibri" w:hAnsi="Calibri" w:cs="Calibri"/>
              </w:rPr>
              <w:t>hepatitis C</w:t>
            </w:r>
            <w:r w:rsidRPr="5163B5CD">
              <w:rPr>
                <w:rFonts w:ascii="Calibri" w:eastAsia="Calibri" w:hAnsi="Calibri" w:cs="Calibri"/>
              </w:rPr>
              <w:t>, but data are scarce. Alternative PrEP and HIV prevention options should be considered.</w:t>
            </w:r>
          </w:p>
        </w:tc>
      </w:tr>
      <w:tr w:rsidR="00611E5F" w:rsidRPr="00606B35" w14:paraId="0594CB71" w14:textId="77777777" w:rsidTr="5FCE61C9">
        <w:trPr>
          <w:cantSplit/>
        </w:trPr>
        <w:tc>
          <w:tcPr>
            <w:tcW w:w="2921" w:type="dxa"/>
          </w:tcPr>
          <w:p w14:paraId="3745C766" w14:textId="20DACC59" w:rsidR="001F4E7D" w:rsidRPr="00606B35" w:rsidRDefault="001F4E7D" w:rsidP="00DD508F">
            <w:pPr>
              <w:spacing w:after="120"/>
            </w:pPr>
            <w:r w:rsidRPr="5163B5CD">
              <w:lastRenderedPageBreak/>
              <w:t>Kidney function assessment</w:t>
            </w:r>
          </w:p>
        </w:tc>
        <w:tc>
          <w:tcPr>
            <w:tcW w:w="7535" w:type="dxa"/>
          </w:tcPr>
          <w:p w14:paraId="39928C2E" w14:textId="78FF50B0" w:rsidR="00E74E10" w:rsidRPr="00606B35" w:rsidRDefault="4AA9294B" w:rsidP="00DD508F">
            <w:pPr>
              <w:spacing w:after="120"/>
              <w:rPr>
                <w:rStyle w:val="fontstyle01"/>
              </w:rPr>
            </w:pPr>
            <w:r w:rsidRPr="1D9AD929">
              <w:rPr>
                <w:rStyle w:val="fontstyle01"/>
              </w:rPr>
              <w:t xml:space="preserve">Kidney function measurement is not </w:t>
            </w:r>
            <w:r w:rsidR="53F2465A" w:rsidRPr="1D9AD929">
              <w:rPr>
                <w:rStyle w:val="fontstyle01"/>
              </w:rPr>
              <w:t>suggested</w:t>
            </w:r>
            <w:r w:rsidR="009D00A4">
              <w:rPr>
                <w:rStyle w:val="fontstyle01"/>
              </w:rPr>
              <w:t xml:space="preserve"> </w:t>
            </w:r>
            <w:r w:rsidRPr="1D9AD929">
              <w:rPr>
                <w:rStyle w:val="fontstyle01"/>
              </w:rPr>
              <w:t xml:space="preserve">for use of the </w:t>
            </w:r>
            <w:r w:rsidR="3CFBEE26" w:rsidRPr="1D9AD929">
              <w:rPr>
                <w:rStyle w:val="fontstyle01"/>
              </w:rPr>
              <w:t>PrEP</w:t>
            </w:r>
            <w:r w:rsidRPr="1D9AD929">
              <w:rPr>
                <w:rStyle w:val="fontstyle01"/>
              </w:rPr>
              <w:t xml:space="preserve"> ring</w:t>
            </w:r>
            <w:r w:rsidR="36B7A012" w:rsidRPr="1D9AD929">
              <w:rPr>
                <w:rStyle w:val="fontstyle01"/>
              </w:rPr>
              <w:t xml:space="preserve"> or CAB PrEP</w:t>
            </w:r>
            <w:r w:rsidR="002246F5">
              <w:rPr>
                <w:rStyle w:val="fontstyle01"/>
              </w:rPr>
              <w:t>.</w:t>
            </w:r>
          </w:p>
          <w:p w14:paraId="0C697A45" w14:textId="5D67457A" w:rsidR="009F6C45" w:rsidRPr="00606B35" w:rsidRDefault="004768C9" w:rsidP="00DD508F">
            <w:pPr>
              <w:spacing w:after="120"/>
              <w:rPr>
                <w:rStyle w:val="fontstyle01"/>
              </w:rPr>
            </w:pPr>
            <w:r w:rsidRPr="00606B35">
              <w:rPr>
                <w:rStyle w:val="fontstyle01"/>
              </w:rPr>
              <w:t xml:space="preserve">Measuring </w:t>
            </w:r>
            <w:r w:rsidR="00F0204B" w:rsidRPr="00606B35">
              <w:rPr>
                <w:rStyle w:val="fontstyle01"/>
              </w:rPr>
              <w:t xml:space="preserve">the </w:t>
            </w:r>
            <w:r w:rsidRPr="00606B35">
              <w:rPr>
                <w:rStyle w:val="fontstyle01"/>
              </w:rPr>
              <w:t xml:space="preserve">kidney function </w:t>
            </w:r>
            <w:r w:rsidR="00F070EC" w:rsidRPr="00606B35">
              <w:rPr>
                <w:rStyle w:val="fontstyle01"/>
              </w:rPr>
              <w:t>of</w:t>
            </w:r>
            <w:r w:rsidRPr="00606B35">
              <w:rPr>
                <w:rStyle w:val="fontstyle01"/>
              </w:rPr>
              <w:t xml:space="preserve"> potential </w:t>
            </w:r>
            <w:r w:rsidR="000C1356">
              <w:rPr>
                <w:rStyle w:val="fontstyle01"/>
              </w:rPr>
              <w:t xml:space="preserve">clients using </w:t>
            </w:r>
            <w:r w:rsidR="005831BD" w:rsidRPr="00606B35">
              <w:rPr>
                <w:rStyle w:val="fontstyle01"/>
              </w:rPr>
              <w:t xml:space="preserve">oral </w:t>
            </w:r>
            <w:r w:rsidRPr="00606B35">
              <w:rPr>
                <w:rStyle w:val="fontstyle01"/>
              </w:rPr>
              <w:t xml:space="preserve">PrEP at initiation </w:t>
            </w:r>
            <w:r w:rsidR="00E74E10" w:rsidRPr="00606B35">
              <w:rPr>
                <w:rStyle w:val="fontstyle01"/>
              </w:rPr>
              <w:t>and/</w:t>
            </w:r>
            <w:r w:rsidR="00D964F2" w:rsidRPr="00606B35">
              <w:rPr>
                <w:rStyle w:val="fontstyle01"/>
              </w:rPr>
              <w:t xml:space="preserve">or </w:t>
            </w:r>
            <w:r w:rsidR="00F0204B" w:rsidRPr="00606B35">
              <w:rPr>
                <w:rStyle w:val="fontstyle01"/>
              </w:rPr>
              <w:t>during</w:t>
            </w:r>
            <w:r w:rsidR="00D964F2" w:rsidRPr="00606B35">
              <w:rPr>
                <w:rStyle w:val="fontstyle01"/>
              </w:rPr>
              <w:t xml:space="preserve"> follow-up visit</w:t>
            </w:r>
            <w:r w:rsidR="00E74E10" w:rsidRPr="00606B35">
              <w:rPr>
                <w:rStyle w:val="fontstyle01"/>
              </w:rPr>
              <w:t>s</w:t>
            </w:r>
            <w:r w:rsidR="00D964F2" w:rsidRPr="00606B35">
              <w:rPr>
                <w:rStyle w:val="fontstyle01"/>
              </w:rPr>
              <w:t xml:space="preserve"> </w:t>
            </w:r>
            <w:r w:rsidRPr="00606B35">
              <w:rPr>
                <w:rStyle w:val="fontstyle01"/>
              </w:rPr>
              <w:t>is suggested for some populations.</w:t>
            </w:r>
            <w:r w:rsidR="005831BD" w:rsidRPr="00606B35">
              <w:rPr>
                <w:rStyle w:val="fontstyle01"/>
              </w:rPr>
              <w:t xml:space="preserve"> </w:t>
            </w:r>
            <w:r w:rsidR="005831BD" w:rsidRPr="004F2502">
              <w:rPr>
                <w:rStyle w:val="fontstyle01"/>
                <w:i/>
                <w:iCs/>
              </w:rPr>
              <w:t xml:space="preserve">Table </w:t>
            </w:r>
            <w:r w:rsidR="00FF1902">
              <w:rPr>
                <w:rStyle w:val="fontstyle01"/>
                <w:i/>
                <w:iCs/>
              </w:rPr>
              <w:t>2</w:t>
            </w:r>
            <w:r w:rsidR="00FF1902" w:rsidRPr="00606B35">
              <w:rPr>
                <w:rStyle w:val="fontstyle01"/>
              </w:rPr>
              <w:t xml:space="preserve"> </w:t>
            </w:r>
            <w:r w:rsidR="005831BD" w:rsidRPr="00606B35">
              <w:rPr>
                <w:rStyle w:val="fontstyle01"/>
              </w:rPr>
              <w:t>outlines who</w:t>
            </w:r>
            <w:r w:rsidR="00C73082" w:rsidRPr="00606B35">
              <w:rPr>
                <w:rStyle w:val="fontstyle01"/>
              </w:rPr>
              <w:t xml:space="preserve"> kidney function </w:t>
            </w:r>
            <w:r w:rsidR="009F6C45" w:rsidRPr="00606B35">
              <w:rPr>
                <w:rStyle w:val="fontstyle01"/>
              </w:rPr>
              <w:t xml:space="preserve">measurement </w:t>
            </w:r>
            <w:r w:rsidR="00C73082" w:rsidRPr="00606B35">
              <w:rPr>
                <w:rStyle w:val="fontstyle01"/>
              </w:rPr>
              <w:t>is suggested for and the frequency of ongoing monitoring.</w:t>
            </w:r>
            <w:r w:rsidR="0057242B" w:rsidRPr="00606B35">
              <w:rPr>
                <w:rStyle w:val="fontstyle01"/>
              </w:rPr>
              <w:t xml:space="preserve"> </w:t>
            </w:r>
            <w:r w:rsidR="00AD601F" w:rsidRPr="00606B35">
              <w:rPr>
                <w:rStyle w:val="fontstyle01"/>
              </w:rPr>
              <w:t xml:space="preserve">When </w:t>
            </w:r>
            <w:r w:rsidR="00F770CD">
              <w:rPr>
                <w:rStyle w:val="fontstyle01"/>
              </w:rPr>
              <w:t>kidney function is measured</w:t>
            </w:r>
            <w:r w:rsidR="00AD601F" w:rsidRPr="00606B35">
              <w:rPr>
                <w:rStyle w:val="fontstyle01"/>
              </w:rPr>
              <w:t>, i</w:t>
            </w:r>
            <w:r w:rsidR="0057242B" w:rsidRPr="00606B35">
              <w:rPr>
                <w:rStyle w:val="fontstyle01"/>
              </w:rPr>
              <w:t xml:space="preserve">nitiation or continuation of oral PrEP </w:t>
            </w:r>
            <w:r w:rsidR="0073204C" w:rsidRPr="00606B35">
              <w:rPr>
                <w:rStyle w:val="fontstyle01"/>
              </w:rPr>
              <w:t>should not</w:t>
            </w:r>
            <w:r w:rsidR="00CB4301" w:rsidRPr="00606B35">
              <w:rPr>
                <w:rStyle w:val="fontstyle01"/>
              </w:rPr>
              <w:t xml:space="preserve"> be delayed</w:t>
            </w:r>
            <w:r w:rsidR="008977F8" w:rsidRPr="00606B35">
              <w:rPr>
                <w:rStyle w:val="fontstyle01"/>
              </w:rPr>
              <w:t>;</w:t>
            </w:r>
            <w:r w:rsidR="0057242B" w:rsidRPr="00606B35">
              <w:rPr>
                <w:rStyle w:val="fontstyle01"/>
              </w:rPr>
              <w:t xml:space="preserve"> </w:t>
            </w:r>
            <w:r w:rsidR="00414643" w:rsidRPr="00606B35">
              <w:rPr>
                <w:rStyle w:val="fontstyle01"/>
              </w:rPr>
              <w:t xml:space="preserve">the </w:t>
            </w:r>
            <w:r w:rsidR="0057242B" w:rsidRPr="00606B35">
              <w:rPr>
                <w:rStyle w:val="fontstyle01"/>
              </w:rPr>
              <w:t xml:space="preserve">results can be reviewed </w:t>
            </w:r>
            <w:r w:rsidR="00426AC7" w:rsidRPr="00606B35">
              <w:rPr>
                <w:rStyle w:val="fontstyle01"/>
              </w:rPr>
              <w:t xml:space="preserve">during </w:t>
            </w:r>
            <w:r w:rsidR="00F8506E" w:rsidRPr="00606B35">
              <w:rPr>
                <w:rStyle w:val="fontstyle01"/>
              </w:rPr>
              <w:t>a</w:t>
            </w:r>
            <w:r w:rsidR="0057242B" w:rsidRPr="00606B35">
              <w:rPr>
                <w:rStyle w:val="fontstyle01"/>
              </w:rPr>
              <w:t xml:space="preserve"> follow-up visit.</w:t>
            </w:r>
            <w:r w:rsidR="0070641F" w:rsidRPr="00606B35">
              <w:rPr>
                <w:rStyle w:val="fontstyle01"/>
              </w:rPr>
              <w:t xml:space="preserve"> </w:t>
            </w:r>
            <w:r w:rsidR="0070641F" w:rsidRPr="00606B35">
              <w:rPr>
                <w:rStyle w:val="fontstyle01"/>
                <w:i/>
              </w:rPr>
              <w:t>Box 4</w:t>
            </w:r>
            <w:r w:rsidR="0070641F" w:rsidRPr="00606B35">
              <w:rPr>
                <w:rStyle w:val="fontstyle01"/>
              </w:rPr>
              <w:t xml:space="preserve"> </w:t>
            </w:r>
            <w:r w:rsidR="00D25524" w:rsidRPr="00606B35">
              <w:rPr>
                <w:rStyle w:val="fontstyle01"/>
              </w:rPr>
              <w:t xml:space="preserve">below </w:t>
            </w:r>
            <w:r w:rsidR="0070641F" w:rsidRPr="00606B35">
              <w:rPr>
                <w:rStyle w:val="fontstyle01"/>
              </w:rPr>
              <w:t xml:space="preserve">outlines how to </w:t>
            </w:r>
            <w:r w:rsidR="00C27D97" w:rsidRPr="00606B35">
              <w:rPr>
                <w:rStyle w:val="fontstyle01"/>
              </w:rPr>
              <w:t>calculate eGFR</w:t>
            </w:r>
            <w:r w:rsidR="00D25524" w:rsidRPr="00606B35">
              <w:rPr>
                <w:rStyle w:val="fontstyle01"/>
              </w:rPr>
              <w:t>.</w:t>
            </w:r>
          </w:p>
          <w:p w14:paraId="65B45C56" w14:textId="0A0BE2E8" w:rsidR="00F066F0" w:rsidRPr="00606B35" w:rsidRDefault="0399C5EC" w:rsidP="00DD508F">
            <w:pPr>
              <w:spacing w:after="120"/>
              <w:rPr>
                <w:color w:val="000000" w:themeColor="text1"/>
              </w:rPr>
            </w:pPr>
            <w:r w:rsidRPr="1D9AD929">
              <w:rPr>
                <w:color w:val="000000" w:themeColor="text1"/>
              </w:rPr>
              <w:t>When measurement of kidney function is conducted for</w:t>
            </w:r>
            <w:r w:rsidR="2C8EBF68" w:rsidRPr="1D9AD929">
              <w:rPr>
                <w:color w:val="000000" w:themeColor="text1"/>
              </w:rPr>
              <w:t xml:space="preserve"> clients using</w:t>
            </w:r>
            <w:r w:rsidRPr="1D9AD929">
              <w:rPr>
                <w:color w:val="000000" w:themeColor="text1"/>
              </w:rPr>
              <w:t xml:space="preserve"> oral PrEP, any individual with an </w:t>
            </w:r>
            <w:r>
              <w:t xml:space="preserve">estimated creatinine clearance of </w:t>
            </w:r>
            <w:r w:rsidRPr="1D9AD929">
              <w:rPr>
                <w:color w:val="000000" w:themeColor="text1"/>
              </w:rPr>
              <w:t>≥</w:t>
            </w:r>
            <w:r>
              <w:t xml:space="preserve">60 mL/min or an eGFR of </w:t>
            </w:r>
            <w:r w:rsidRPr="1D9AD929">
              <w:rPr>
                <w:color w:val="000000" w:themeColor="text1"/>
              </w:rPr>
              <w:t>≥</w:t>
            </w:r>
            <w:r>
              <w:t>60 mL/min per 1.73m</w:t>
            </w:r>
            <w:r w:rsidRPr="1D9AD929">
              <w:rPr>
                <w:vertAlign w:val="superscript"/>
              </w:rPr>
              <w:t xml:space="preserve">2 </w:t>
            </w:r>
            <w:r w:rsidRPr="1D9AD929">
              <w:rPr>
                <w:color w:val="000000" w:themeColor="text1"/>
              </w:rPr>
              <w:t xml:space="preserve">can safely be prescribed oral PrEP. </w:t>
            </w:r>
          </w:p>
          <w:p w14:paraId="043866E2" w14:textId="21465E1C" w:rsidR="002C09D6" w:rsidRPr="00606B35" w:rsidRDefault="00EA74A1" w:rsidP="10A43560">
            <w:pPr>
              <w:spacing w:after="120"/>
              <w:rPr>
                <w:color w:val="000000" w:themeColor="text1"/>
              </w:rPr>
            </w:pPr>
            <w:r w:rsidRPr="00606B35">
              <w:rPr>
                <w:color w:val="000000" w:themeColor="text1"/>
              </w:rPr>
              <w:t xml:space="preserve">If </w:t>
            </w:r>
            <w:r w:rsidRPr="00606B35">
              <w:t>estimated creatinine clearance is &lt;60 mL/min or the eGFR is &lt;60 mL/min per 1.73m</w:t>
            </w:r>
            <w:r w:rsidRPr="00606B35">
              <w:rPr>
                <w:vertAlign w:val="superscript"/>
              </w:rPr>
              <w:t>2</w:t>
            </w:r>
            <w:r w:rsidR="001B2388" w:rsidRPr="00606B35">
              <w:t>,</w:t>
            </w:r>
            <w:r w:rsidRPr="00606B35">
              <w:rPr>
                <w:vertAlign w:val="superscript"/>
              </w:rPr>
              <w:t xml:space="preserve"> </w:t>
            </w:r>
            <w:r w:rsidRPr="00606B35">
              <w:rPr>
                <w:color w:val="000000" w:themeColor="text1"/>
              </w:rPr>
              <w:t xml:space="preserve">see </w:t>
            </w:r>
            <w:r w:rsidRPr="00606B35">
              <w:rPr>
                <w:i/>
                <w:color w:val="000000" w:themeColor="text1"/>
              </w:rPr>
              <w:t>Management of Creatinine Elevation</w:t>
            </w:r>
            <w:r w:rsidRPr="00606B35">
              <w:rPr>
                <w:color w:val="000000" w:themeColor="text1"/>
              </w:rPr>
              <w:t xml:space="preserve"> below.</w:t>
            </w:r>
          </w:p>
          <w:p w14:paraId="0AFF776A" w14:textId="3DB2F668" w:rsidR="002C09D6" w:rsidRPr="00606B35" w:rsidRDefault="398E2367">
            <w:pPr>
              <w:spacing w:after="120"/>
              <w:rPr>
                <w:b/>
              </w:rPr>
            </w:pPr>
            <w:r>
              <w:t xml:space="preserve">Availability of or access to kidney function measurement should not be a barrier to PrEP initiation or use. If </w:t>
            </w:r>
            <w:r w:rsidR="00F770CD">
              <w:t>kidney function is measured</w:t>
            </w:r>
            <w:r>
              <w:t xml:space="preserve">, oral PrEP can be initiated before </w:t>
            </w:r>
            <w:r w:rsidR="00F770CD">
              <w:t xml:space="preserve">the </w:t>
            </w:r>
            <w:r>
              <w:t>results are available.</w:t>
            </w:r>
          </w:p>
        </w:tc>
      </w:tr>
      <w:tr w:rsidR="00005411" w:rsidRPr="00606B35" w14:paraId="00217FD6" w14:textId="77777777" w:rsidTr="5FCE61C9">
        <w:trPr>
          <w:cantSplit/>
        </w:trPr>
        <w:tc>
          <w:tcPr>
            <w:tcW w:w="2921" w:type="dxa"/>
          </w:tcPr>
          <w:p w14:paraId="79193A60" w14:textId="160D1471" w:rsidR="00005411" w:rsidRPr="5163B5CD" w:rsidRDefault="00483119" w:rsidP="00DD508F">
            <w:pPr>
              <w:spacing w:after="120"/>
            </w:pPr>
            <w:r>
              <w:t>Liver function testing</w:t>
            </w:r>
          </w:p>
        </w:tc>
        <w:tc>
          <w:tcPr>
            <w:tcW w:w="7535" w:type="dxa"/>
          </w:tcPr>
          <w:p w14:paraId="6A6354CC" w14:textId="13B9A08F" w:rsidR="00C353D2" w:rsidRDefault="009E0990" w:rsidP="009C3063">
            <w:r>
              <w:t>In clinical trials, h</w:t>
            </w:r>
            <w:r w:rsidR="008F52DE">
              <w:t>epatotoxicity (as indicated by raised liver function levels) has been reported in a small number of client</w:t>
            </w:r>
            <w:r w:rsidR="0040535B">
              <w:t>s receiving CAB PrEP</w:t>
            </w:r>
            <w:r>
              <w:t xml:space="preserve">, although at similar levels to </w:t>
            </w:r>
            <w:r w:rsidR="00A73100">
              <w:t xml:space="preserve">those receiving placebo injections. </w:t>
            </w:r>
            <w:r w:rsidR="00C353D2">
              <w:t xml:space="preserve">Liver function testing </w:t>
            </w:r>
            <w:r w:rsidR="003D3EC4">
              <w:t>can be considered before and during CAB PrEP use. CAB PrEP should not be initiate</w:t>
            </w:r>
            <w:r w:rsidR="00A33C2C">
              <w:t>d in people with advanced liver disease or acute viral hepatitis</w:t>
            </w:r>
            <w:r w:rsidR="00006E84">
              <w:t xml:space="preserve"> (see above)</w:t>
            </w:r>
            <w:r w:rsidR="003B3033">
              <w:t xml:space="preserve"> and should be stopped if hepatotoxicity is confirmed. </w:t>
            </w:r>
          </w:p>
          <w:p w14:paraId="57E17A66" w14:textId="61671173" w:rsidR="00005411" w:rsidRPr="002E6EFB" w:rsidRDefault="004315B7" w:rsidP="002E6EFB">
            <w:pPr>
              <w:rPr>
                <w:rStyle w:val="fontstyle01"/>
                <w:rFonts w:asciiTheme="minorHAnsi" w:hAnsiTheme="minorHAnsi" w:cstheme="minorBidi"/>
                <w:color w:val="auto"/>
              </w:rPr>
            </w:pPr>
            <w:r>
              <w:rPr>
                <w:rStyle w:val="fontstyle01"/>
                <w:rFonts w:asciiTheme="minorHAnsi" w:hAnsiTheme="minorHAnsi" w:cstheme="minorBidi"/>
                <w:color w:val="auto"/>
              </w:rPr>
              <w:t>C</w:t>
            </w:r>
            <w:r>
              <w:rPr>
                <w:rStyle w:val="fontstyle01"/>
              </w:rPr>
              <w:t xml:space="preserve">AB PrEP </w:t>
            </w:r>
            <w:r w:rsidR="003B3033">
              <w:rPr>
                <w:rStyle w:val="fontstyle01"/>
              </w:rPr>
              <w:t xml:space="preserve">injections should not be delayed while waiting for </w:t>
            </w:r>
            <w:r w:rsidR="00A01233">
              <w:rPr>
                <w:rStyle w:val="fontstyle01"/>
              </w:rPr>
              <w:t xml:space="preserve">the </w:t>
            </w:r>
            <w:r w:rsidR="003B3033">
              <w:rPr>
                <w:rStyle w:val="fontstyle01"/>
              </w:rPr>
              <w:t>results of liver function tests</w:t>
            </w:r>
            <w:r w:rsidR="009B2035">
              <w:rPr>
                <w:rStyle w:val="fontstyle01"/>
              </w:rPr>
              <w:t>, if conducted</w:t>
            </w:r>
            <w:r w:rsidR="003B3033">
              <w:rPr>
                <w:rStyle w:val="fontstyle01"/>
              </w:rPr>
              <w:t xml:space="preserve">. </w:t>
            </w:r>
          </w:p>
        </w:tc>
      </w:tr>
      <w:tr w:rsidR="000A6FA6" w:rsidRPr="00606B35" w14:paraId="37038EF9" w14:textId="77777777" w:rsidTr="5FCE61C9">
        <w:tc>
          <w:tcPr>
            <w:tcW w:w="2921" w:type="dxa"/>
          </w:tcPr>
          <w:p w14:paraId="0778C8FB" w14:textId="3F3C9001" w:rsidR="000A6FA6" w:rsidRPr="00606B35" w:rsidRDefault="000A6FA6" w:rsidP="00DD508F">
            <w:pPr>
              <w:spacing w:after="120"/>
              <w:rPr>
                <w:rFonts w:cstheme="minorHAnsi"/>
                <w:bCs/>
              </w:rPr>
            </w:pPr>
            <w:r w:rsidRPr="00606B35">
              <w:rPr>
                <w:rFonts w:cstheme="minorHAnsi"/>
                <w:bCs/>
              </w:rPr>
              <w:t>Pregnancy testing</w:t>
            </w:r>
            <w:r w:rsidR="00742C59" w:rsidRPr="00606B35">
              <w:rPr>
                <w:rFonts w:cstheme="minorHAnsi"/>
                <w:bCs/>
              </w:rPr>
              <w:t xml:space="preserve"> and provision of contraceptives</w:t>
            </w:r>
          </w:p>
        </w:tc>
        <w:tc>
          <w:tcPr>
            <w:tcW w:w="7535" w:type="dxa"/>
          </w:tcPr>
          <w:p w14:paraId="678993AB" w14:textId="5351526F" w:rsidR="00E31761" w:rsidRPr="00606B35" w:rsidRDefault="6102FCF9" w:rsidP="00DD508F">
            <w:pPr>
              <w:pBdr>
                <w:top w:val="nil"/>
                <w:left w:val="nil"/>
                <w:bottom w:val="nil"/>
                <w:right w:val="nil"/>
                <w:between w:val="nil"/>
              </w:pBdr>
              <w:spacing w:after="120"/>
            </w:pPr>
            <w:r>
              <w:t xml:space="preserve">Assess fertility intentions and offer </w:t>
            </w:r>
            <w:r w:rsidR="555B98AB">
              <w:t xml:space="preserve">pregnancy testing and </w:t>
            </w:r>
            <w:r>
              <w:t>contraception or safer conception counseling</w:t>
            </w:r>
            <w:r w:rsidR="555B98AB">
              <w:t xml:space="preserve">. </w:t>
            </w:r>
            <w:r w:rsidR="52B154EB" w:rsidRPr="56D00486">
              <w:rPr>
                <w:color w:val="000000" w:themeColor="text1"/>
              </w:rPr>
              <w:t>R</w:t>
            </w:r>
            <w:r w:rsidR="52B154EB">
              <w:t xml:space="preserve">egular pregnancy testing is recommended for clients who are </w:t>
            </w:r>
            <w:r w:rsidR="004746FA">
              <w:t xml:space="preserve">using PrEP and </w:t>
            </w:r>
            <w:r w:rsidR="00285E7F">
              <w:t>have the potential to</w:t>
            </w:r>
            <w:r w:rsidR="00102C41">
              <w:t xml:space="preserve"> become pregnant.</w:t>
            </w:r>
          </w:p>
          <w:p w14:paraId="46E55669" w14:textId="77777777" w:rsidR="0069549E" w:rsidRDefault="0069549E" w:rsidP="00DD508F">
            <w:pPr>
              <w:pBdr>
                <w:top w:val="nil"/>
                <w:left w:val="nil"/>
                <w:bottom w:val="nil"/>
                <w:right w:val="nil"/>
                <w:between w:val="nil"/>
              </w:pBdr>
              <w:spacing w:after="120"/>
              <w:rPr>
                <w:rFonts w:cstheme="minorHAnsi"/>
                <w:color w:val="000000"/>
              </w:rPr>
            </w:pPr>
            <w:r w:rsidRPr="00606B35">
              <w:rPr>
                <w:rFonts w:eastAsiaTheme="minorEastAsia" w:cstheme="minorHAnsi"/>
              </w:rPr>
              <w:t xml:space="preserve">If </w:t>
            </w:r>
            <w:r w:rsidR="00D518B1" w:rsidRPr="00606B35">
              <w:rPr>
                <w:rFonts w:eastAsiaTheme="minorEastAsia" w:cstheme="minorHAnsi"/>
              </w:rPr>
              <w:t xml:space="preserve">a client is </w:t>
            </w:r>
            <w:r w:rsidRPr="00606B35">
              <w:rPr>
                <w:rFonts w:eastAsiaTheme="minorEastAsia" w:cstheme="minorHAnsi"/>
              </w:rPr>
              <w:t>pregnant, link t</w:t>
            </w:r>
            <w:r w:rsidR="006A241C">
              <w:rPr>
                <w:rFonts w:eastAsiaTheme="minorEastAsia" w:cstheme="minorHAnsi"/>
              </w:rPr>
              <w:t>hem t</w:t>
            </w:r>
            <w:r w:rsidRPr="00606B35">
              <w:rPr>
                <w:rFonts w:eastAsiaTheme="minorEastAsia" w:cstheme="minorHAnsi"/>
              </w:rPr>
              <w:t>o antenatal care</w:t>
            </w:r>
            <w:r w:rsidR="00362719">
              <w:rPr>
                <w:rFonts w:eastAsiaTheme="minorEastAsia" w:cstheme="minorHAnsi"/>
              </w:rPr>
              <w:t xml:space="preserve"> and</w:t>
            </w:r>
            <w:r w:rsidRPr="00606B35">
              <w:rPr>
                <w:rFonts w:eastAsiaTheme="minorEastAsia" w:cstheme="minorHAnsi"/>
              </w:rPr>
              <w:t xml:space="preserve"> pregnancy options counseling (</w:t>
            </w:r>
            <w:r w:rsidRPr="00606B35">
              <w:rPr>
                <w:rFonts w:cstheme="minorHAnsi"/>
                <w:color w:val="000000"/>
              </w:rPr>
              <w:t xml:space="preserve">see </w:t>
            </w:r>
            <w:r w:rsidR="004B1599" w:rsidRPr="00606B35">
              <w:rPr>
                <w:rFonts w:cstheme="minorHAnsi"/>
                <w:i/>
                <w:iCs/>
                <w:color w:val="000000"/>
              </w:rPr>
              <w:t>Management of Clients</w:t>
            </w:r>
            <w:r w:rsidRPr="00606B35">
              <w:rPr>
                <w:rFonts w:cstheme="minorHAnsi"/>
                <w:i/>
                <w:iCs/>
                <w:color w:val="000000"/>
              </w:rPr>
              <w:t xml:space="preserve"> in Specific Situations</w:t>
            </w:r>
            <w:r w:rsidR="00631DA6" w:rsidRPr="00606B35">
              <w:rPr>
                <w:rFonts w:cstheme="minorHAnsi"/>
                <w:i/>
                <w:iCs/>
                <w:color w:val="000000"/>
              </w:rPr>
              <w:t xml:space="preserve"> </w:t>
            </w:r>
            <w:r w:rsidR="00631DA6" w:rsidRPr="00606B35">
              <w:rPr>
                <w:rFonts w:cstheme="minorHAnsi"/>
                <w:color w:val="000000"/>
              </w:rPr>
              <w:t>below</w:t>
            </w:r>
            <w:r w:rsidRPr="00606B35">
              <w:rPr>
                <w:rFonts w:cstheme="minorHAnsi"/>
                <w:color w:val="000000"/>
              </w:rPr>
              <w:t>).</w:t>
            </w:r>
          </w:p>
          <w:p w14:paraId="3FC300D4" w14:textId="5B7D9351" w:rsidR="0069549E" w:rsidRPr="00ED795C" w:rsidRDefault="00B21FA0" w:rsidP="00DD508F">
            <w:pPr>
              <w:pBdr>
                <w:top w:val="nil"/>
                <w:left w:val="nil"/>
                <w:bottom w:val="nil"/>
                <w:right w:val="nil"/>
                <w:between w:val="nil"/>
              </w:pBdr>
              <w:spacing w:after="120"/>
            </w:pPr>
            <w:r w:rsidRPr="00606B35">
              <w:t>PrEP should still be provided even if these services are not available or if the client is unable to or does not wish to access these services. These services should not be barriers to accessing PrEP.</w:t>
            </w:r>
          </w:p>
        </w:tc>
      </w:tr>
      <w:tr w:rsidR="00831250" w:rsidRPr="00606B35" w14:paraId="2DA88D64" w14:textId="77777777" w:rsidTr="5FCE61C9">
        <w:trPr>
          <w:trHeight w:val="1160"/>
        </w:trPr>
        <w:tc>
          <w:tcPr>
            <w:tcW w:w="2921" w:type="dxa"/>
          </w:tcPr>
          <w:p w14:paraId="6FE6E47E" w14:textId="27BEE97D" w:rsidR="00461F8E" w:rsidRPr="00606B35" w:rsidRDefault="00EE34B4" w:rsidP="00DD508F">
            <w:pPr>
              <w:spacing w:after="120"/>
              <w:rPr>
                <w:rFonts w:cstheme="minorHAnsi"/>
                <w:bCs/>
              </w:rPr>
            </w:pPr>
            <w:r w:rsidRPr="00606B35">
              <w:rPr>
                <w:rFonts w:cstheme="minorHAnsi"/>
                <w:bCs/>
              </w:rPr>
              <w:t>Provision of GBV services, including IPV services</w:t>
            </w:r>
          </w:p>
        </w:tc>
        <w:tc>
          <w:tcPr>
            <w:tcW w:w="7535" w:type="dxa"/>
          </w:tcPr>
          <w:p w14:paraId="61FDD766" w14:textId="669ADA62" w:rsidR="00461F8E" w:rsidRPr="00606B35" w:rsidRDefault="00EE34B4" w:rsidP="00DD508F">
            <w:pPr>
              <w:pBdr>
                <w:top w:val="nil"/>
                <w:left w:val="nil"/>
                <w:bottom w:val="nil"/>
                <w:right w:val="nil"/>
                <w:between w:val="nil"/>
              </w:pBdr>
              <w:spacing w:after="120"/>
              <w:rPr>
                <w:color w:val="000000" w:themeColor="text1"/>
              </w:rPr>
            </w:pPr>
            <w:r w:rsidRPr="00606B35">
              <w:rPr>
                <w:color w:val="000000" w:themeColor="text1"/>
              </w:rPr>
              <w:t xml:space="preserve">Clients who are experiencing GBV, including IPV, </w:t>
            </w:r>
            <w:r w:rsidR="20881FC5" w:rsidRPr="10A43560">
              <w:rPr>
                <w:color w:val="000000" w:themeColor="text1"/>
              </w:rPr>
              <w:t xml:space="preserve">should </w:t>
            </w:r>
            <w:r w:rsidRPr="00606B35">
              <w:rPr>
                <w:color w:val="000000" w:themeColor="text1"/>
              </w:rPr>
              <w:t>be provided appropriate services as needed and available.</w:t>
            </w:r>
          </w:p>
          <w:p w14:paraId="07D8B89A" w14:textId="758A1491" w:rsidR="00F111CD" w:rsidRPr="00606B35" w:rsidRDefault="00F111CD"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r w:rsidR="000A6FA6" w:rsidRPr="00606B35" w14:paraId="13897197" w14:textId="77777777" w:rsidTr="5FCE61C9">
        <w:trPr>
          <w:trHeight w:val="1529"/>
        </w:trPr>
        <w:tc>
          <w:tcPr>
            <w:tcW w:w="2921" w:type="dxa"/>
          </w:tcPr>
          <w:p w14:paraId="34A902E4" w14:textId="47C12DDB" w:rsidR="000A6FA6" w:rsidRPr="00606B35" w:rsidRDefault="00744883" w:rsidP="00DD508F">
            <w:pPr>
              <w:spacing w:after="120"/>
              <w:rPr>
                <w:rFonts w:cstheme="minorHAnsi"/>
                <w:bCs/>
              </w:rPr>
            </w:pPr>
            <w:r>
              <w:rPr>
                <w:rFonts w:cstheme="minorHAnsi"/>
                <w:bCs/>
              </w:rPr>
              <w:t>Assessment</w:t>
            </w:r>
            <w:r w:rsidRPr="00606B35">
              <w:rPr>
                <w:rFonts w:cstheme="minorHAnsi"/>
                <w:bCs/>
              </w:rPr>
              <w:t xml:space="preserve"> </w:t>
            </w:r>
            <w:r w:rsidR="007C2F79" w:rsidRPr="00606B35">
              <w:rPr>
                <w:rFonts w:cstheme="minorHAnsi"/>
                <w:bCs/>
              </w:rPr>
              <w:t>for m</w:t>
            </w:r>
            <w:r w:rsidR="000A6FA6" w:rsidRPr="00606B35">
              <w:rPr>
                <w:rFonts w:cstheme="minorHAnsi"/>
                <w:bCs/>
              </w:rPr>
              <w:t xml:space="preserve">ental health </w:t>
            </w:r>
            <w:r w:rsidR="00742C59" w:rsidRPr="00606B35">
              <w:rPr>
                <w:rFonts w:cstheme="minorHAnsi"/>
                <w:bCs/>
              </w:rPr>
              <w:t>and substance abuse disorders and provision of supportive services or referrals as needed</w:t>
            </w:r>
          </w:p>
        </w:tc>
        <w:tc>
          <w:tcPr>
            <w:tcW w:w="7535" w:type="dxa"/>
          </w:tcPr>
          <w:p w14:paraId="5324B094" w14:textId="2ABD9604" w:rsidR="00244C2E" w:rsidRPr="00606B35" w:rsidRDefault="000A6FA6" w:rsidP="00DD508F">
            <w:pPr>
              <w:pBdr>
                <w:top w:val="nil"/>
                <w:left w:val="nil"/>
                <w:bottom w:val="nil"/>
                <w:right w:val="nil"/>
                <w:between w:val="nil"/>
              </w:pBdr>
              <w:spacing w:after="120"/>
              <w:rPr>
                <w:color w:val="000000"/>
              </w:rPr>
            </w:pPr>
            <w:r w:rsidRPr="10A43560">
              <w:rPr>
                <w:color w:val="000000" w:themeColor="text1"/>
              </w:rPr>
              <w:t>Screen for mental health concerns</w:t>
            </w:r>
            <w:r w:rsidR="00742C59" w:rsidRPr="10A43560">
              <w:rPr>
                <w:color w:val="000000" w:themeColor="text1"/>
              </w:rPr>
              <w:t>,</w:t>
            </w:r>
            <w:r w:rsidRPr="10A43560">
              <w:rPr>
                <w:color w:val="000000" w:themeColor="text1"/>
              </w:rPr>
              <w:t xml:space="preserve"> including depression and substance abuse</w:t>
            </w:r>
            <w:r w:rsidR="00742C59" w:rsidRPr="10A43560">
              <w:rPr>
                <w:color w:val="000000" w:themeColor="text1"/>
              </w:rPr>
              <w:t xml:space="preserve"> disorders</w:t>
            </w:r>
            <w:r w:rsidRPr="10A43560">
              <w:rPr>
                <w:color w:val="000000" w:themeColor="text1"/>
              </w:rPr>
              <w:t xml:space="preserve">, </w:t>
            </w:r>
            <w:r w:rsidR="00A27B30" w:rsidRPr="10A43560">
              <w:rPr>
                <w:color w:val="000000" w:themeColor="text1"/>
              </w:rPr>
              <w:t>which</w:t>
            </w:r>
            <w:r w:rsidRPr="10A43560">
              <w:rPr>
                <w:color w:val="000000" w:themeColor="text1"/>
              </w:rPr>
              <w:t xml:space="preserve"> might increase </w:t>
            </w:r>
            <w:r w:rsidR="00964CB1" w:rsidRPr="10A43560">
              <w:rPr>
                <w:color w:val="000000" w:themeColor="text1"/>
              </w:rPr>
              <w:t>potential HIV exposure</w:t>
            </w:r>
            <w:r w:rsidRPr="10A43560">
              <w:rPr>
                <w:color w:val="000000" w:themeColor="text1"/>
              </w:rPr>
              <w:t xml:space="preserve"> or affect </w:t>
            </w:r>
            <w:r w:rsidR="00DC6C52" w:rsidRPr="10A43560">
              <w:rPr>
                <w:color w:val="000000" w:themeColor="text1"/>
              </w:rPr>
              <w:t>effective use of</w:t>
            </w:r>
            <w:r w:rsidRPr="10A43560">
              <w:rPr>
                <w:color w:val="000000" w:themeColor="text1"/>
              </w:rPr>
              <w:t xml:space="preserve"> PrEP</w:t>
            </w:r>
            <w:r w:rsidR="00C83D16">
              <w:rPr>
                <w:color w:val="000000" w:themeColor="text1"/>
              </w:rPr>
              <w:t>,</w:t>
            </w:r>
            <w:r w:rsidR="007C2F79" w:rsidRPr="10A43560">
              <w:rPr>
                <w:color w:val="000000" w:themeColor="text1"/>
              </w:rPr>
              <w:t xml:space="preserve"> and </w:t>
            </w:r>
            <w:r w:rsidR="00742C59" w:rsidRPr="10A43560">
              <w:rPr>
                <w:color w:val="000000" w:themeColor="text1"/>
              </w:rPr>
              <w:t xml:space="preserve">provide or </w:t>
            </w:r>
            <w:r w:rsidR="007C2F79" w:rsidRPr="10A43560">
              <w:rPr>
                <w:color w:val="000000" w:themeColor="text1"/>
              </w:rPr>
              <w:t>l</w:t>
            </w:r>
            <w:r w:rsidRPr="10A43560">
              <w:rPr>
                <w:color w:val="000000" w:themeColor="text1"/>
              </w:rPr>
              <w:t xml:space="preserve">ink </w:t>
            </w:r>
            <w:r w:rsidR="00D940FA">
              <w:rPr>
                <w:color w:val="000000" w:themeColor="text1"/>
              </w:rPr>
              <w:t xml:space="preserve">clients </w:t>
            </w:r>
            <w:r w:rsidRPr="10A43560">
              <w:rPr>
                <w:color w:val="000000" w:themeColor="text1"/>
              </w:rPr>
              <w:t xml:space="preserve">to follow-up </w:t>
            </w:r>
            <w:r w:rsidR="00742C59" w:rsidRPr="10A43560">
              <w:rPr>
                <w:color w:val="000000" w:themeColor="text1"/>
              </w:rPr>
              <w:t>services as needed.</w:t>
            </w:r>
            <w:r w:rsidRPr="10A43560">
              <w:rPr>
                <w:color w:val="000000" w:themeColor="text1"/>
              </w:rPr>
              <w:t xml:space="preserve"> </w:t>
            </w:r>
            <w:r w:rsidR="1B9891C7" w:rsidRPr="10A43560">
              <w:rPr>
                <w:color w:val="000000" w:themeColor="text1"/>
              </w:rPr>
              <w:t>Clients with mental health or substance use concerns should not be prohibited from receiving PrEP if they can effectively use PrEP.</w:t>
            </w:r>
          </w:p>
          <w:p w14:paraId="52E0C243" w14:textId="341C7E6F" w:rsidR="00841AC9" w:rsidRPr="00F31B22" w:rsidRDefault="00244C2E" w:rsidP="00E46321">
            <w:pPr>
              <w:pBdr>
                <w:top w:val="nil"/>
                <w:left w:val="nil"/>
                <w:bottom w:val="nil"/>
                <w:right w:val="nil"/>
                <w:between w:val="nil"/>
              </w:pBdr>
              <w:spacing w:after="120"/>
            </w:pPr>
            <w:r w:rsidRPr="00606B35">
              <w:t>PrEP should still be provided even if these services are not available or if the client is unable to or does not wish to access these services.</w:t>
            </w:r>
            <w:r w:rsidR="00283307" w:rsidRPr="00606B35">
              <w:t xml:space="preserve"> </w:t>
            </w:r>
          </w:p>
        </w:tc>
      </w:tr>
      <w:tr w:rsidR="00742C59" w:rsidRPr="00606B35" w14:paraId="5C92A7D2" w14:textId="77777777" w:rsidTr="5FCE61C9">
        <w:tc>
          <w:tcPr>
            <w:tcW w:w="2921" w:type="dxa"/>
          </w:tcPr>
          <w:p w14:paraId="0BA8195F" w14:textId="63967E66" w:rsidR="00742C59" w:rsidRPr="00606B35" w:rsidRDefault="00742C59" w:rsidP="00DD508F">
            <w:pPr>
              <w:spacing w:after="120"/>
              <w:rPr>
                <w:rFonts w:cstheme="minorHAnsi"/>
                <w:bCs/>
              </w:rPr>
            </w:pPr>
            <w:r w:rsidRPr="00606B35">
              <w:rPr>
                <w:rFonts w:cstheme="minorHAnsi"/>
                <w:bCs/>
              </w:rPr>
              <w:lastRenderedPageBreak/>
              <w:t>Provision of or referral to voluntary medical male circumcision (VMMC) services</w:t>
            </w:r>
          </w:p>
        </w:tc>
        <w:tc>
          <w:tcPr>
            <w:tcW w:w="7535" w:type="dxa"/>
          </w:tcPr>
          <w:p w14:paraId="372803BC" w14:textId="77777777" w:rsidR="00742C59" w:rsidRPr="00606B35" w:rsidRDefault="00742C59" w:rsidP="00DD508F">
            <w:pPr>
              <w:pBdr>
                <w:top w:val="nil"/>
                <w:left w:val="nil"/>
                <w:bottom w:val="nil"/>
                <w:right w:val="nil"/>
                <w:between w:val="nil"/>
              </w:pBdr>
              <w:spacing w:after="120"/>
              <w:rPr>
                <w:rFonts w:cstheme="minorHAnsi"/>
                <w:color w:val="000000"/>
              </w:rPr>
            </w:pPr>
            <w:r w:rsidRPr="00606B35">
              <w:rPr>
                <w:rFonts w:cstheme="minorHAnsi"/>
                <w:color w:val="000000"/>
              </w:rPr>
              <w:t>Clients who may benefit from VMMC can be provided with or referred to VMMC services in alignment with national guidelines.</w:t>
            </w:r>
          </w:p>
          <w:p w14:paraId="4AE2097C" w14:textId="10DA7E13" w:rsidR="00244C2E" w:rsidRPr="00606B35" w:rsidRDefault="00244C2E"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r w:rsidR="00742C59" w:rsidRPr="00606B35" w14:paraId="5EE12259" w14:textId="77777777" w:rsidTr="5FCE61C9">
        <w:tc>
          <w:tcPr>
            <w:tcW w:w="2921" w:type="dxa"/>
          </w:tcPr>
          <w:p w14:paraId="12EE47D6" w14:textId="78C2BD2F" w:rsidR="00742C59" w:rsidRPr="00606B35" w:rsidRDefault="00742C59" w:rsidP="00DD508F">
            <w:pPr>
              <w:spacing w:after="120"/>
              <w:rPr>
                <w:rFonts w:cstheme="minorHAnsi"/>
                <w:bCs/>
              </w:rPr>
            </w:pPr>
            <w:r w:rsidRPr="00606B35">
              <w:rPr>
                <w:rFonts w:cstheme="minorHAnsi"/>
                <w:bCs/>
              </w:rPr>
              <w:t>Screening for and treatment of noncommunicable diseases</w:t>
            </w:r>
          </w:p>
        </w:tc>
        <w:tc>
          <w:tcPr>
            <w:tcW w:w="7535" w:type="dxa"/>
          </w:tcPr>
          <w:p w14:paraId="65681A7A" w14:textId="77B149A2" w:rsidR="00742C59" w:rsidRPr="00606B35" w:rsidRDefault="00742C59" w:rsidP="00DD508F">
            <w:pPr>
              <w:pBdr>
                <w:top w:val="nil"/>
                <w:left w:val="nil"/>
                <w:bottom w:val="nil"/>
                <w:right w:val="nil"/>
                <w:between w:val="nil"/>
              </w:pBdr>
              <w:spacing w:after="120"/>
              <w:rPr>
                <w:rFonts w:cstheme="minorHAnsi"/>
                <w:color w:val="000000"/>
              </w:rPr>
            </w:pPr>
            <w:r w:rsidRPr="00606B35">
              <w:rPr>
                <w:rFonts w:cstheme="minorHAnsi"/>
                <w:color w:val="000000"/>
              </w:rPr>
              <w:t xml:space="preserve">Clients may have additional health needs that may come up </w:t>
            </w:r>
            <w:r w:rsidR="004606E7" w:rsidRPr="00606B35">
              <w:rPr>
                <w:rFonts w:cstheme="minorHAnsi"/>
                <w:color w:val="000000"/>
              </w:rPr>
              <w:t>during</w:t>
            </w:r>
            <w:r w:rsidRPr="00606B35">
              <w:rPr>
                <w:rFonts w:cstheme="minorHAnsi"/>
                <w:color w:val="000000"/>
              </w:rPr>
              <w:t xml:space="preserve"> a </w:t>
            </w:r>
            <w:r w:rsidR="009E465B" w:rsidRPr="00606B35">
              <w:rPr>
                <w:rFonts w:cstheme="minorHAnsi"/>
                <w:color w:val="000000"/>
              </w:rPr>
              <w:t xml:space="preserve">visit with a </w:t>
            </w:r>
            <w:r w:rsidR="00E43BDC" w:rsidRPr="00606B35">
              <w:rPr>
                <w:rFonts w:cstheme="minorHAnsi"/>
                <w:color w:val="000000"/>
              </w:rPr>
              <w:t>health</w:t>
            </w:r>
            <w:r w:rsidR="004D2E71" w:rsidRPr="00606B35">
              <w:rPr>
                <w:rFonts w:cstheme="minorHAnsi"/>
                <w:color w:val="000000"/>
              </w:rPr>
              <w:t xml:space="preserve"> </w:t>
            </w:r>
            <w:r w:rsidR="00E43BDC" w:rsidRPr="00606B35">
              <w:rPr>
                <w:rFonts w:cstheme="minorHAnsi"/>
                <w:color w:val="000000"/>
              </w:rPr>
              <w:t>care provider</w:t>
            </w:r>
            <w:r w:rsidR="009E465B" w:rsidRPr="00606B35">
              <w:rPr>
                <w:rFonts w:cstheme="minorHAnsi"/>
                <w:color w:val="000000"/>
              </w:rPr>
              <w:t xml:space="preserve"> or may be discovered through further assessment. Provide clients with relevant health</w:t>
            </w:r>
            <w:r w:rsidR="004D2E71" w:rsidRPr="00606B35">
              <w:rPr>
                <w:rFonts w:cstheme="minorHAnsi"/>
                <w:color w:val="000000"/>
              </w:rPr>
              <w:t xml:space="preserve"> </w:t>
            </w:r>
            <w:r w:rsidR="009E465B" w:rsidRPr="00606B35">
              <w:rPr>
                <w:rFonts w:cstheme="minorHAnsi"/>
                <w:color w:val="000000"/>
              </w:rPr>
              <w:t>care services or refer them to appropriate services as needed and available.</w:t>
            </w:r>
          </w:p>
          <w:p w14:paraId="5A468820" w14:textId="29235CCB" w:rsidR="00244C2E" w:rsidRPr="00606B35" w:rsidRDefault="00244C2E"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bl>
    <w:p w14:paraId="13FD596D" w14:textId="77777777" w:rsidR="5FCE61C9" w:rsidRDefault="5FCE61C9">
      <w:pPr>
        <w:rPr>
          <w:b/>
          <w:color w:val="000000" w:themeColor="text1"/>
        </w:rPr>
      </w:pPr>
    </w:p>
    <w:p w14:paraId="1064B1E6" w14:textId="77777777" w:rsidR="000D1A50" w:rsidRDefault="000D1A50">
      <w:pPr>
        <w:rPr>
          <w:b/>
          <w:color w:val="000000" w:themeColor="text1"/>
        </w:rPr>
      </w:pPr>
      <w:bookmarkStart w:id="52" w:name="_heading=h.lnxbz9" w:colFirst="0" w:colLast="0"/>
      <w:bookmarkEnd w:id="52"/>
      <w:r>
        <w:rPr>
          <w:b/>
          <w:color w:val="000000" w:themeColor="text1"/>
        </w:rPr>
        <w:br w:type="page"/>
      </w:r>
    </w:p>
    <w:p w14:paraId="4B938DCE" w14:textId="13F0F460" w:rsidR="00586470" w:rsidRPr="00606B35" w:rsidRDefault="00586470" w:rsidP="00365CE7">
      <w:pPr>
        <w:rPr>
          <w:b/>
          <w:color w:val="000000"/>
        </w:rPr>
      </w:pPr>
      <w:r w:rsidRPr="0294A27B">
        <w:rPr>
          <w:b/>
          <w:color w:val="000000" w:themeColor="text1"/>
        </w:rPr>
        <w:lastRenderedPageBreak/>
        <w:t xml:space="preserve">Table </w:t>
      </w:r>
      <w:r w:rsidR="00092351">
        <w:rPr>
          <w:b/>
          <w:color w:val="000000" w:themeColor="text1"/>
        </w:rPr>
        <w:t>2</w:t>
      </w:r>
      <w:r w:rsidR="00896A02">
        <w:rPr>
          <w:b/>
          <w:color w:val="000000" w:themeColor="text1"/>
        </w:rPr>
        <w:t>.</w:t>
      </w:r>
      <w:r w:rsidRPr="0294A27B">
        <w:rPr>
          <w:b/>
          <w:color w:val="000000" w:themeColor="text1"/>
        </w:rPr>
        <w:t xml:space="preserve"> </w:t>
      </w:r>
      <w:r w:rsidR="00FB5123" w:rsidRPr="0294A27B">
        <w:rPr>
          <w:b/>
          <w:color w:val="000000" w:themeColor="text1"/>
        </w:rPr>
        <w:t xml:space="preserve">Suggested </w:t>
      </w:r>
      <w:r w:rsidR="00F64731" w:rsidRPr="0294A27B">
        <w:rPr>
          <w:b/>
          <w:color w:val="000000" w:themeColor="text1"/>
        </w:rPr>
        <w:t>P</w:t>
      </w:r>
      <w:r w:rsidR="00FB5123" w:rsidRPr="0294A27B">
        <w:rPr>
          <w:b/>
          <w:color w:val="000000" w:themeColor="text1"/>
        </w:rPr>
        <w:t xml:space="preserve">rocedures for </w:t>
      </w:r>
      <w:r w:rsidR="00F64731" w:rsidRPr="0294A27B">
        <w:rPr>
          <w:b/>
          <w:color w:val="000000" w:themeColor="text1"/>
        </w:rPr>
        <w:t>M</w:t>
      </w:r>
      <w:r w:rsidR="00FB5123" w:rsidRPr="0294A27B">
        <w:rPr>
          <w:b/>
          <w:color w:val="000000" w:themeColor="text1"/>
        </w:rPr>
        <w:t xml:space="preserve">easuring </w:t>
      </w:r>
      <w:r w:rsidR="00F64731" w:rsidRPr="0294A27B">
        <w:rPr>
          <w:b/>
          <w:color w:val="000000" w:themeColor="text1"/>
        </w:rPr>
        <w:t>K</w:t>
      </w:r>
      <w:r w:rsidR="00FB5123" w:rsidRPr="0294A27B">
        <w:rPr>
          <w:b/>
          <w:color w:val="000000" w:themeColor="text1"/>
        </w:rPr>
        <w:t>idney</w:t>
      </w:r>
      <w:r w:rsidRPr="0294A27B" w:rsidDel="00FB5123">
        <w:rPr>
          <w:b/>
          <w:color w:val="000000" w:themeColor="text1"/>
        </w:rPr>
        <w:t xml:space="preserve"> Function </w:t>
      </w:r>
      <w:r w:rsidR="00973EDD" w:rsidRPr="0294A27B">
        <w:rPr>
          <w:b/>
          <w:color w:val="000000" w:themeColor="text1"/>
        </w:rPr>
        <w:t>o</w:t>
      </w:r>
      <w:r w:rsidRPr="0294A27B">
        <w:rPr>
          <w:b/>
          <w:color w:val="000000" w:themeColor="text1"/>
        </w:rPr>
        <w:t xml:space="preserve">f </w:t>
      </w:r>
      <w:r w:rsidR="000C1356" w:rsidRPr="0294A27B">
        <w:rPr>
          <w:b/>
          <w:color w:val="000000" w:themeColor="text1"/>
        </w:rPr>
        <w:t xml:space="preserve">Clients Using </w:t>
      </w:r>
      <w:r w:rsidRPr="0294A27B">
        <w:rPr>
          <w:b/>
          <w:color w:val="000000" w:themeColor="text1"/>
        </w:rPr>
        <w:t xml:space="preserve">Oral PrEP </w:t>
      </w:r>
    </w:p>
    <w:tbl>
      <w:tblPr>
        <w:tblW w:w="0" w:type="auto"/>
        <w:tblLook w:val="04A0" w:firstRow="1" w:lastRow="0" w:firstColumn="1" w:lastColumn="0" w:noHBand="0" w:noVBand="1"/>
      </w:tblPr>
      <w:tblGrid>
        <w:gridCol w:w="2362"/>
        <w:gridCol w:w="2313"/>
        <w:gridCol w:w="5781"/>
      </w:tblGrid>
      <w:tr w:rsidR="00963C5D" w:rsidRPr="00606B35" w14:paraId="78FF12DF" w14:textId="77777777" w:rsidTr="00B25741">
        <w:tc>
          <w:tcPr>
            <w:tcW w:w="2362" w:type="dxa"/>
            <w:shd w:val="clear" w:color="auto" w:fill="4472C4" w:themeFill="accent1"/>
          </w:tcPr>
          <w:p w14:paraId="76B3EE60" w14:textId="77777777" w:rsidR="00586470" w:rsidRPr="00606B35" w:rsidRDefault="00586470" w:rsidP="00C630B6">
            <w:pPr>
              <w:spacing w:after="120"/>
              <w:rPr>
                <w:rFonts w:cstheme="minorHAnsi"/>
              </w:rPr>
            </w:pPr>
            <w:r w:rsidRPr="00606B35">
              <w:rPr>
                <w:rFonts w:cstheme="minorHAnsi"/>
                <w:b/>
                <w:color w:val="FFFFFF"/>
              </w:rPr>
              <w:t>Population (s)</w:t>
            </w:r>
          </w:p>
        </w:tc>
        <w:tc>
          <w:tcPr>
            <w:tcW w:w="2313" w:type="dxa"/>
            <w:shd w:val="clear" w:color="auto" w:fill="4472C4" w:themeFill="accent1"/>
          </w:tcPr>
          <w:p w14:paraId="6FCCD135" w14:textId="77777777" w:rsidR="00586470" w:rsidRPr="00606B35" w:rsidRDefault="00586470" w:rsidP="00C630B6">
            <w:pPr>
              <w:spacing w:after="120"/>
              <w:rPr>
                <w:rFonts w:cstheme="minorHAnsi"/>
              </w:rPr>
            </w:pPr>
            <w:r w:rsidRPr="00606B35">
              <w:rPr>
                <w:rFonts w:cstheme="minorHAnsi"/>
                <w:b/>
                <w:color w:val="FFFFFF"/>
              </w:rPr>
              <w:t>Baseline Screening</w:t>
            </w:r>
          </w:p>
        </w:tc>
        <w:tc>
          <w:tcPr>
            <w:tcW w:w="5781" w:type="dxa"/>
            <w:shd w:val="clear" w:color="auto" w:fill="4472C4" w:themeFill="accent1"/>
          </w:tcPr>
          <w:p w14:paraId="1F82D3AB" w14:textId="77777777" w:rsidR="00586470" w:rsidRPr="00606B35" w:rsidRDefault="00586470" w:rsidP="00C630B6">
            <w:pPr>
              <w:spacing w:after="120"/>
              <w:rPr>
                <w:rFonts w:cstheme="minorHAnsi"/>
                <w:b/>
                <w:color w:val="FFFFFF"/>
              </w:rPr>
            </w:pPr>
            <w:r w:rsidRPr="00606B35">
              <w:rPr>
                <w:rFonts w:cstheme="minorHAnsi"/>
                <w:b/>
                <w:color w:val="FFFFFF"/>
              </w:rPr>
              <w:t>Follow-up Screening</w:t>
            </w:r>
          </w:p>
        </w:tc>
      </w:tr>
      <w:tr w:rsidR="00963C5D" w:rsidRPr="00606B35" w14:paraId="631F6D6A" w14:textId="77777777" w:rsidTr="00B25741">
        <w:trPr>
          <w:trHeight w:val="1304"/>
        </w:trPr>
        <w:tc>
          <w:tcPr>
            <w:tcW w:w="2362" w:type="dxa"/>
            <w:tcBorders>
              <w:bottom w:val="single" w:sz="4" w:space="0" w:color="auto"/>
            </w:tcBorders>
          </w:tcPr>
          <w:p w14:paraId="64BC08A1" w14:textId="43FA219D" w:rsidR="00586470" w:rsidRPr="00606B35" w:rsidRDefault="00586470" w:rsidP="00C630B6">
            <w:pPr>
              <w:spacing w:after="120"/>
              <w:rPr>
                <w:rFonts w:cstheme="minorHAnsi"/>
                <w:i/>
              </w:rPr>
            </w:pPr>
            <w:r w:rsidRPr="00606B35">
              <w:rPr>
                <w:rFonts w:cstheme="minorHAnsi"/>
                <w:color w:val="000000"/>
              </w:rPr>
              <w:t>Individuals 29 years and younger with no kidney-related comorbidities</w:t>
            </w:r>
            <w:r w:rsidR="0093085B" w:rsidRPr="00606B35">
              <w:rPr>
                <w:rFonts w:cstheme="minorHAnsi"/>
                <w:color w:val="000000"/>
                <w:vertAlign w:val="superscript"/>
              </w:rPr>
              <w:t>0</w:t>
            </w:r>
            <w:r w:rsidR="006B559E" w:rsidRPr="00606B35">
              <w:rPr>
                <w:rFonts w:cstheme="minorHAnsi"/>
                <w:color w:val="000000"/>
              </w:rPr>
              <w:t xml:space="preserve"> </w:t>
            </w:r>
          </w:p>
        </w:tc>
        <w:tc>
          <w:tcPr>
            <w:tcW w:w="2313" w:type="dxa"/>
            <w:tcBorders>
              <w:bottom w:val="single" w:sz="4" w:space="0" w:color="auto"/>
            </w:tcBorders>
          </w:tcPr>
          <w:p w14:paraId="1CA4022D" w14:textId="77777777" w:rsidR="00586470" w:rsidRPr="00606B35" w:rsidRDefault="00586470" w:rsidP="00C630B6">
            <w:pPr>
              <w:pBdr>
                <w:top w:val="nil"/>
                <w:left w:val="nil"/>
                <w:bottom w:val="nil"/>
                <w:right w:val="nil"/>
                <w:between w:val="nil"/>
              </w:pBdr>
              <w:spacing w:after="120"/>
              <w:rPr>
                <w:rFonts w:cstheme="minorHAnsi"/>
                <w:color w:val="000000"/>
              </w:rPr>
            </w:pPr>
            <w:r w:rsidRPr="00606B35">
              <w:rPr>
                <w:rFonts w:cstheme="minorHAnsi"/>
                <w:color w:val="000000"/>
              </w:rPr>
              <w:t>Optional</w:t>
            </w:r>
          </w:p>
        </w:tc>
        <w:tc>
          <w:tcPr>
            <w:tcW w:w="5781" w:type="dxa"/>
            <w:tcBorders>
              <w:bottom w:val="single" w:sz="4" w:space="0" w:color="auto"/>
            </w:tcBorders>
          </w:tcPr>
          <w:p w14:paraId="5AF42B39" w14:textId="5FB3F48E" w:rsidR="00586470" w:rsidRPr="00606B35" w:rsidRDefault="00586470" w:rsidP="00C630B6">
            <w:pPr>
              <w:spacing w:after="120"/>
              <w:rPr>
                <w:rFonts w:cstheme="minorHAnsi"/>
                <w:color w:val="000000"/>
              </w:rPr>
            </w:pPr>
            <w:r w:rsidRPr="00606B35">
              <w:rPr>
                <w:rFonts w:cstheme="minorHAnsi"/>
                <w:color w:val="000000"/>
              </w:rPr>
              <w:t xml:space="preserve">If </w:t>
            </w:r>
            <w:r w:rsidR="00FB18D6">
              <w:rPr>
                <w:rFonts w:cstheme="minorHAnsi"/>
                <w:color w:val="000000"/>
              </w:rPr>
              <w:t xml:space="preserve">testing is </w:t>
            </w:r>
            <w:r w:rsidRPr="00606B35">
              <w:rPr>
                <w:rFonts w:cstheme="minorHAnsi"/>
                <w:color w:val="000000"/>
              </w:rPr>
              <w:t>not conducted or if baseline test is normal</w:t>
            </w:r>
            <w:r w:rsidR="00960645" w:rsidRPr="00606B35">
              <w:rPr>
                <w:rFonts w:cstheme="minorHAnsi"/>
                <w:color w:val="000000"/>
              </w:rPr>
              <w:t>,</w:t>
            </w:r>
            <w:r w:rsidR="0093085B" w:rsidRPr="00606B35">
              <w:rPr>
                <w:rFonts w:cstheme="minorHAnsi"/>
                <w:color w:val="000000"/>
                <w:vertAlign w:val="superscript"/>
              </w:rPr>
              <w:t>1</w:t>
            </w:r>
            <w:r w:rsidRPr="00606B35">
              <w:rPr>
                <w:rFonts w:cstheme="minorHAnsi"/>
                <w:color w:val="000000"/>
              </w:rPr>
              <w:t xml:space="preserve"> follow-up is optional until</w:t>
            </w:r>
            <w:r w:rsidR="00B8197F">
              <w:rPr>
                <w:rFonts w:cstheme="minorHAnsi"/>
                <w:color w:val="000000"/>
              </w:rPr>
              <w:t xml:space="preserve"> client </w:t>
            </w:r>
            <w:r w:rsidR="00D0602B">
              <w:rPr>
                <w:rFonts w:cstheme="minorHAnsi"/>
                <w:color w:val="000000"/>
              </w:rPr>
              <w:t>is</w:t>
            </w:r>
            <w:r w:rsidRPr="00606B35">
              <w:rPr>
                <w:rFonts w:cstheme="minorHAnsi"/>
                <w:color w:val="000000"/>
              </w:rPr>
              <w:t xml:space="preserve"> 30 years of age or if kidney-related comorbidities develop.</w:t>
            </w:r>
          </w:p>
          <w:p w14:paraId="642B105B" w14:textId="45384B1C" w:rsidR="00586470" w:rsidRPr="00606B35" w:rsidRDefault="00C63EE9">
            <w:pPr>
              <w:pBdr>
                <w:top w:val="nil"/>
                <w:left w:val="nil"/>
                <w:bottom w:val="nil"/>
                <w:right w:val="nil"/>
                <w:between w:val="nil"/>
              </w:pBdr>
              <w:spacing w:after="120"/>
              <w:rPr>
                <w:rFonts w:cstheme="minorHAnsi"/>
                <w:color w:val="000000"/>
              </w:rPr>
            </w:pPr>
            <w:r w:rsidRPr="00606B35">
              <w:rPr>
                <w:rFonts w:cstheme="minorHAnsi"/>
              </w:rPr>
              <w:t xml:space="preserve">If </w:t>
            </w:r>
            <w:r w:rsidR="001D63FD" w:rsidRPr="00606B35">
              <w:rPr>
                <w:rFonts w:cstheme="minorHAnsi"/>
              </w:rPr>
              <w:t>baseline</w:t>
            </w:r>
            <w:r w:rsidRPr="00606B35">
              <w:rPr>
                <w:rFonts w:cstheme="minorHAnsi"/>
              </w:rPr>
              <w:t xml:space="preserve"> test result suggests at</w:t>
            </w:r>
            <w:r w:rsidR="001D63FD" w:rsidRPr="00606B35">
              <w:rPr>
                <w:rFonts w:cstheme="minorHAnsi"/>
              </w:rPr>
              <w:t xml:space="preserve"> </w:t>
            </w:r>
            <w:r w:rsidRPr="00606B35">
              <w:rPr>
                <w:rFonts w:cstheme="minorHAnsi"/>
              </w:rPr>
              <w:t>least mild loss of kidney function</w:t>
            </w:r>
            <w:r w:rsidR="00243A2B" w:rsidRPr="00606B35">
              <w:rPr>
                <w:rFonts w:cstheme="minorHAnsi"/>
              </w:rPr>
              <w:t>,</w:t>
            </w:r>
            <w:r w:rsidR="0093085B" w:rsidRPr="00606B35">
              <w:rPr>
                <w:rFonts w:cstheme="minorHAnsi"/>
                <w:vertAlign w:val="superscript"/>
              </w:rPr>
              <w:t>2</w:t>
            </w:r>
            <w:r w:rsidR="001D63FD" w:rsidRPr="00606B35">
              <w:rPr>
                <w:rFonts w:cstheme="minorHAnsi"/>
              </w:rPr>
              <w:t xml:space="preserve"> </w:t>
            </w:r>
            <w:r w:rsidRPr="00606B35">
              <w:rPr>
                <w:rFonts w:cstheme="minorHAnsi"/>
              </w:rPr>
              <w:t xml:space="preserve">follow-up measurements every </w:t>
            </w:r>
            <w:r w:rsidR="001D63FD" w:rsidRPr="00606B35">
              <w:rPr>
                <w:rFonts w:cstheme="minorHAnsi"/>
              </w:rPr>
              <w:t xml:space="preserve">six to </w:t>
            </w:r>
            <w:r w:rsidRPr="00606B35">
              <w:rPr>
                <w:rFonts w:cstheme="minorHAnsi"/>
              </w:rPr>
              <w:t>12 months are suggested</w:t>
            </w:r>
            <w:r w:rsidR="00586470" w:rsidRPr="00606B35" w:rsidDel="00C63EE9">
              <w:rPr>
                <w:rFonts w:cstheme="minorHAnsi"/>
                <w:color w:val="000000"/>
              </w:rPr>
              <w:t>.</w:t>
            </w:r>
          </w:p>
        </w:tc>
      </w:tr>
      <w:tr w:rsidR="00963C5D" w:rsidRPr="00606B35" w14:paraId="05807B69" w14:textId="77777777" w:rsidTr="00B25741">
        <w:tc>
          <w:tcPr>
            <w:tcW w:w="2362" w:type="dxa"/>
            <w:tcBorders>
              <w:top w:val="single" w:sz="4" w:space="0" w:color="auto"/>
              <w:bottom w:val="single" w:sz="4" w:space="0" w:color="auto"/>
            </w:tcBorders>
          </w:tcPr>
          <w:p w14:paraId="47B56D19" w14:textId="20339862" w:rsidR="00586470" w:rsidRPr="00606B35" w:rsidRDefault="00586470" w:rsidP="00C630B6">
            <w:pPr>
              <w:spacing w:after="120"/>
              <w:rPr>
                <w:rFonts w:cstheme="minorHAnsi"/>
                <w:i/>
              </w:rPr>
            </w:pPr>
            <w:r w:rsidRPr="00606B35">
              <w:rPr>
                <w:rFonts w:cstheme="minorHAnsi"/>
                <w:color w:val="000000"/>
              </w:rPr>
              <w:t>Individuals 30–49 years with no kidney-related comorbidities</w:t>
            </w:r>
            <w:r w:rsidR="0093085B" w:rsidRPr="00606B35">
              <w:rPr>
                <w:rFonts w:cstheme="minorHAnsi"/>
                <w:color w:val="000000"/>
                <w:vertAlign w:val="superscript"/>
              </w:rPr>
              <w:t>0</w:t>
            </w:r>
            <w:r w:rsidR="006B559E" w:rsidRPr="00606B35">
              <w:rPr>
                <w:rFonts w:cstheme="minorHAnsi"/>
                <w:color w:val="000000"/>
              </w:rPr>
              <w:t xml:space="preserve"> </w:t>
            </w:r>
          </w:p>
        </w:tc>
        <w:tc>
          <w:tcPr>
            <w:tcW w:w="2313" w:type="dxa"/>
            <w:tcBorders>
              <w:top w:val="single" w:sz="4" w:space="0" w:color="auto"/>
              <w:bottom w:val="single" w:sz="4" w:space="0" w:color="auto"/>
            </w:tcBorders>
          </w:tcPr>
          <w:p w14:paraId="083C2388" w14:textId="53BC8C86" w:rsidR="00586470" w:rsidRDefault="00E122AB" w:rsidP="00C630B6">
            <w:pPr>
              <w:pBdr>
                <w:top w:val="nil"/>
                <w:left w:val="nil"/>
                <w:bottom w:val="nil"/>
                <w:right w:val="nil"/>
                <w:between w:val="nil"/>
              </w:pBdr>
              <w:spacing w:after="120"/>
              <w:rPr>
                <w:rStyle w:val="fontstyle01"/>
                <w:rFonts w:cstheme="minorBidi"/>
              </w:rPr>
            </w:pPr>
            <w:r w:rsidRPr="5163B5CD">
              <w:rPr>
                <w:rStyle w:val="fontstyle01"/>
                <w:rFonts w:asciiTheme="minorHAnsi" w:hAnsiTheme="minorHAnsi" w:cstheme="minorBidi"/>
              </w:rPr>
              <w:t>Conduct once at initiation or</w:t>
            </w:r>
            <w:r w:rsidR="007D51E4" w:rsidRPr="5163B5CD">
              <w:rPr>
                <w:rStyle w:val="fontstyle01"/>
                <w:rFonts w:asciiTheme="minorHAnsi" w:hAnsiTheme="minorHAnsi" w:cstheme="minorBidi"/>
              </w:rPr>
              <w:t xml:space="preserve"> </w:t>
            </w:r>
            <w:r w:rsidR="00BE1763" w:rsidRPr="5163B5CD">
              <w:rPr>
                <w:rStyle w:val="fontstyle01"/>
                <w:rFonts w:asciiTheme="minorHAnsi" w:hAnsiTheme="minorHAnsi" w:cstheme="minorBidi"/>
              </w:rPr>
              <w:t>d</w:t>
            </w:r>
            <w:r w:rsidR="00BE1763" w:rsidRPr="5163B5CD">
              <w:rPr>
                <w:rStyle w:val="fontstyle01"/>
                <w:rFonts w:cstheme="minorBidi"/>
              </w:rPr>
              <w:t>uring</w:t>
            </w:r>
            <w:r w:rsidRPr="5163B5CD">
              <w:rPr>
                <w:rStyle w:val="fontstyle01"/>
                <w:rFonts w:cstheme="minorBidi"/>
              </w:rPr>
              <w:t xml:space="preserve"> </w:t>
            </w:r>
            <w:r w:rsidRPr="5163B5CD">
              <w:rPr>
                <w:rStyle w:val="fontstyle01"/>
                <w:rFonts w:asciiTheme="minorHAnsi" w:hAnsiTheme="minorHAnsi" w:cstheme="minorBidi"/>
              </w:rPr>
              <w:t xml:space="preserve">a follow-up visit </w:t>
            </w:r>
            <w:r w:rsidR="00356A40" w:rsidRPr="5163B5CD">
              <w:rPr>
                <w:rStyle w:val="fontstyle01"/>
                <w:rFonts w:asciiTheme="minorHAnsi" w:hAnsiTheme="minorHAnsi" w:cstheme="minorBidi"/>
              </w:rPr>
              <w:t>one to three</w:t>
            </w:r>
            <w:r w:rsidRPr="5163B5CD">
              <w:rPr>
                <w:rStyle w:val="fontstyle01"/>
                <w:rFonts w:asciiTheme="minorHAnsi" w:hAnsiTheme="minorHAnsi" w:cstheme="minorBidi"/>
              </w:rPr>
              <w:t xml:space="preserve"> months after </w:t>
            </w:r>
            <w:r w:rsidR="00586470" w:rsidRPr="5163B5CD" w:rsidDel="00E122AB">
              <w:rPr>
                <w:rStyle w:val="fontstyle01"/>
                <w:rFonts w:asciiTheme="minorHAnsi" w:hAnsiTheme="minorHAnsi" w:cstheme="minorBidi"/>
              </w:rPr>
              <w:t>initiation</w:t>
            </w:r>
            <w:r w:rsidR="00AD1140" w:rsidRPr="5163B5CD">
              <w:rPr>
                <w:rStyle w:val="fontstyle01"/>
                <w:rFonts w:asciiTheme="minorHAnsi" w:hAnsiTheme="minorHAnsi" w:cstheme="minorBidi"/>
              </w:rPr>
              <w:t>.</w:t>
            </w:r>
            <w:r w:rsidR="00A160F6" w:rsidRPr="5163B5CD">
              <w:rPr>
                <w:rStyle w:val="fontstyle01"/>
                <w:rFonts w:asciiTheme="minorHAnsi" w:hAnsiTheme="minorHAnsi" w:cstheme="minorBidi"/>
              </w:rPr>
              <w:t xml:space="preserve"> </w:t>
            </w:r>
            <w:r w:rsidR="00A160F6" w:rsidRPr="5163B5CD">
              <w:rPr>
                <w:rStyle w:val="fontstyle01"/>
                <w:rFonts w:cstheme="minorBidi"/>
              </w:rPr>
              <w:t>However,</w:t>
            </w:r>
            <w:r w:rsidR="4A7CD108" w:rsidRPr="18536232">
              <w:rPr>
                <w:rStyle w:val="fontstyle01"/>
                <w:rFonts w:cstheme="minorBidi"/>
              </w:rPr>
              <w:t xml:space="preserve"> </w:t>
            </w:r>
            <w:r w:rsidR="0A94E008" w:rsidRPr="18536232">
              <w:rPr>
                <w:rStyle w:val="fontstyle01"/>
                <w:rFonts w:cstheme="minorBidi"/>
              </w:rPr>
              <w:t>it</w:t>
            </w:r>
            <w:r w:rsidR="00A160F6" w:rsidRPr="5163B5CD">
              <w:rPr>
                <w:rStyle w:val="fontstyle01"/>
                <w:rFonts w:cstheme="minorBidi"/>
              </w:rPr>
              <w:t xml:space="preserve"> can be considered optional if </w:t>
            </w:r>
            <w:r w:rsidR="00DE04AF" w:rsidRPr="5163B5CD">
              <w:rPr>
                <w:rStyle w:val="fontstyle01"/>
                <w:rFonts w:cstheme="minorBidi"/>
              </w:rPr>
              <w:t>resources are limited and there is no history of kidney-related comorbidities</w:t>
            </w:r>
            <w:r w:rsidR="00B652F5">
              <w:rPr>
                <w:rStyle w:val="fontstyle01"/>
                <w:rFonts w:cstheme="minorBidi"/>
              </w:rPr>
              <w:t>,</w:t>
            </w:r>
            <w:r w:rsidR="00861BA5" w:rsidRPr="5163B5CD">
              <w:rPr>
                <w:rStyle w:val="fontstyle01"/>
                <w:rFonts w:cstheme="minorBidi"/>
              </w:rPr>
              <w:t xml:space="preserve"> especially </w:t>
            </w:r>
            <w:r w:rsidR="751121ED" w:rsidRPr="5163B5CD">
              <w:rPr>
                <w:rStyle w:val="fontstyle01"/>
                <w:rFonts w:cstheme="minorBidi"/>
              </w:rPr>
              <w:t>for individuals</w:t>
            </w:r>
            <w:r w:rsidR="00861BA5" w:rsidRPr="5163B5CD">
              <w:rPr>
                <w:rStyle w:val="fontstyle01"/>
                <w:rFonts w:cstheme="minorBidi"/>
              </w:rPr>
              <w:t xml:space="preserve"> 30</w:t>
            </w:r>
            <w:r w:rsidR="00B652F5">
              <w:rPr>
                <w:rStyle w:val="fontstyle01"/>
              </w:rPr>
              <w:t>–</w:t>
            </w:r>
            <w:r w:rsidR="00861BA5" w:rsidRPr="5163B5CD">
              <w:rPr>
                <w:rStyle w:val="fontstyle01"/>
                <w:rFonts w:cstheme="minorBidi"/>
              </w:rPr>
              <w:t xml:space="preserve">39 </w:t>
            </w:r>
            <w:r w:rsidR="00861BA5" w:rsidRPr="24C5E516">
              <w:rPr>
                <w:rStyle w:val="fontstyle01"/>
                <w:rFonts w:cstheme="minorBidi"/>
              </w:rPr>
              <w:t>years</w:t>
            </w:r>
            <w:r w:rsidR="002942B2" w:rsidRPr="24C5E516">
              <w:rPr>
                <w:rStyle w:val="fontstyle01"/>
                <w:rFonts w:cstheme="minorBidi"/>
              </w:rPr>
              <w:t>.</w:t>
            </w:r>
          </w:p>
          <w:p w14:paraId="16274003" w14:textId="46460BB6" w:rsidR="002239A2" w:rsidRPr="00606B35" w:rsidRDefault="002239A2" w:rsidP="00C630B6">
            <w:pPr>
              <w:pBdr>
                <w:top w:val="nil"/>
                <w:left w:val="nil"/>
                <w:bottom w:val="nil"/>
                <w:right w:val="nil"/>
                <w:between w:val="nil"/>
              </w:pBdr>
              <w:spacing w:after="120"/>
              <w:rPr>
                <w:color w:val="000000"/>
              </w:rPr>
            </w:pPr>
          </w:p>
        </w:tc>
        <w:tc>
          <w:tcPr>
            <w:tcW w:w="5781" w:type="dxa"/>
            <w:tcBorders>
              <w:top w:val="single" w:sz="4" w:space="0" w:color="auto"/>
              <w:bottom w:val="single" w:sz="4" w:space="0" w:color="auto"/>
            </w:tcBorders>
          </w:tcPr>
          <w:p w14:paraId="7ACF6417" w14:textId="173BAEC3" w:rsidR="00586470" w:rsidRPr="00606B35" w:rsidRDefault="00586470" w:rsidP="00C630B6">
            <w:pPr>
              <w:spacing w:after="120"/>
              <w:rPr>
                <w:rFonts w:cstheme="minorHAnsi"/>
                <w:color w:val="000000"/>
              </w:rPr>
            </w:pPr>
            <w:r w:rsidRPr="00606B35">
              <w:rPr>
                <w:rFonts w:cstheme="minorHAnsi"/>
                <w:color w:val="000000"/>
              </w:rPr>
              <w:t>If baseline test is normal</w:t>
            </w:r>
            <w:r w:rsidR="00793D18" w:rsidRPr="00606B35">
              <w:rPr>
                <w:rFonts w:cstheme="minorHAnsi"/>
                <w:color w:val="000000"/>
              </w:rPr>
              <w:t>,</w:t>
            </w:r>
            <w:r w:rsidR="004708B3" w:rsidRPr="00606B35">
              <w:rPr>
                <w:rFonts w:cstheme="minorHAnsi"/>
                <w:color w:val="000000"/>
                <w:vertAlign w:val="superscript"/>
              </w:rPr>
              <w:t>1</w:t>
            </w:r>
            <w:r w:rsidRPr="00606B35">
              <w:rPr>
                <w:rFonts w:cstheme="minorHAnsi"/>
                <w:color w:val="000000"/>
              </w:rPr>
              <w:t xml:space="preserve"> further screening is optional until </w:t>
            </w:r>
            <w:r w:rsidR="00B652F5">
              <w:rPr>
                <w:rFonts w:cstheme="minorHAnsi"/>
                <w:color w:val="000000"/>
              </w:rPr>
              <w:t xml:space="preserve">client is </w:t>
            </w:r>
            <w:r w:rsidRPr="00606B35">
              <w:rPr>
                <w:rFonts w:cstheme="minorHAnsi"/>
                <w:color w:val="000000"/>
              </w:rPr>
              <w:t>50 years of age or if kidney-related comorbidities develop.</w:t>
            </w:r>
          </w:p>
          <w:p w14:paraId="013FBE9F" w14:textId="47C5B95E" w:rsidR="00586470" w:rsidRPr="00606B35" w:rsidRDefault="00E479EA" w:rsidP="00C630B6">
            <w:pPr>
              <w:pBdr>
                <w:top w:val="nil"/>
                <w:left w:val="nil"/>
                <w:bottom w:val="nil"/>
                <w:right w:val="nil"/>
                <w:between w:val="nil"/>
              </w:pBdr>
              <w:spacing w:after="120"/>
              <w:rPr>
                <w:rFonts w:cstheme="minorHAnsi"/>
                <w:color w:val="000000"/>
              </w:rPr>
            </w:pPr>
            <w:r w:rsidRPr="00606B35">
              <w:rPr>
                <w:rFonts w:cstheme="minorHAnsi"/>
              </w:rPr>
              <w:t>If baseline test result suggests at least mild loss of kidney function</w:t>
            </w:r>
            <w:r w:rsidR="007932DE" w:rsidRPr="00606B35">
              <w:rPr>
                <w:rFonts w:cstheme="minorHAnsi"/>
              </w:rPr>
              <w:t>,</w:t>
            </w:r>
            <w:r w:rsidR="006E4447" w:rsidRPr="00606B35">
              <w:rPr>
                <w:rFonts w:cstheme="minorHAnsi"/>
                <w:vertAlign w:val="superscript"/>
              </w:rPr>
              <w:t>2</w:t>
            </w:r>
            <w:r w:rsidRPr="00606B35">
              <w:rPr>
                <w:rFonts w:cstheme="minorHAnsi"/>
              </w:rPr>
              <w:t xml:space="preserve"> follow-up measurements every six to 12 months are suggested</w:t>
            </w:r>
            <w:r w:rsidR="00A272B0" w:rsidRPr="00606B35">
              <w:rPr>
                <w:rFonts w:cstheme="minorHAnsi"/>
              </w:rPr>
              <w:t>.</w:t>
            </w:r>
          </w:p>
        </w:tc>
      </w:tr>
      <w:tr w:rsidR="009A2FC6" w:rsidRPr="00606B35" w14:paraId="1EE7106B" w14:textId="77777777" w:rsidTr="00B25741">
        <w:tc>
          <w:tcPr>
            <w:tcW w:w="2362" w:type="dxa"/>
            <w:tcBorders>
              <w:top w:val="single" w:sz="4" w:space="0" w:color="auto"/>
              <w:bottom w:val="single" w:sz="4" w:space="0" w:color="auto"/>
            </w:tcBorders>
          </w:tcPr>
          <w:p w14:paraId="467D555A" w14:textId="77777777" w:rsidR="009A2FC6" w:rsidRDefault="009A2FC6" w:rsidP="009A2FC6">
            <w:pPr>
              <w:spacing w:after="120"/>
              <w:rPr>
                <w:rFonts w:cstheme="minorHAnsi"/>
                <w:color w:val="000000"/>
              </w:rPr>
            </w:pPr>
            <w:r>
              <w:rPr>
                <w:rFonts w:cstheme="minorHAnsi"/>
                <w:color w:val="000000"/>
              </w:rPr>
              <w:t>Individuals 50 years and older</w:t>
            </w:r>
          </w:p>
          <w:p w14:paraId="5506B41C" w14:textId="77777777" w:rsidR="009A2FC6" w:rsidRDefault="009A2FC6" w:rsidP="009A2FC6">
            <w:pPr>
              <w:spacing w:after="120"/>
              <w:rPr>
                <w:rFonts w:cstheme="minorHAnsi"/>
                <w:color w:val="000000"/>
                <w:vertAlign w:val="superscript"/>
              </w:rPr>
            </w:pPr>
            <w:r>
              <w:rPr>
                <w:rFonts w:cstheme="minorHAnsi"/>
                <w:color w:val="000000"/>
              </w:rPr>
              <w:t>Individuals of any age with kidney-related comorbidities</w:t>
            </w:r>
            <w:r w:rsidRPr="00B25741">
              <w:rPr>
                <w:rFonts w:cstheme="minorHAnsi"/>
                <w:color w:val="000000"/>
                <w:vertAlign w:val="superscript"/>
              </w:rPr>
              <w:t>0</w:t>
            </w:r>
          </w:p>
          <w:p w14:paraId="2E5DFA60" w14:textId="5FBC419E" w:rsidR="009A2FC6" w:rsidRPr="009A2FC6" w:rsidRDefault="009A2FC6" w:rsidP="009A2FC6">
            <w:pPr>
              <w:spacing w:after="120"/>
              <w:rPr>
                <w:rFonts w:cstheme="minorHAnsi"/>
                <w:color w:val="000000"/>
              </w:rPr>
            </w:pPr>
            <w:r>
              <w:rPr>
                <w:rFonts w:cstheme="minorHAnsi"/>
                <w:color w:val="000000"/>
              </w:rPr>
              <w:t>Individuals with previous measurement of kidney function suggesting at least mild loss of kidney fiunction</w:t>
            </w:r>
            <w:r w:rsidRPr="00B25741">
              <w:rPr>
                <w:rFonts w:cstheme="minorHAnsi"/>
                <w:color w:val="000000"/>
                <w:vertAlign w:val="superscript"/>
              </w:rPr>
              <w:t>2</w:t>
            </w:r>
          </w:p>
        </w:tc>
        <w:tc>
          <w:tcPr>
            <w:tcW w:w="2313" w:type="dxa"/>
            <w:tcBorders>
              <w:top w:val="single" w:sz="4" w:space="0" w:color="auto"/>
              <w:bottom w:val="single" w:sz="4" w:space="0" w:color="auto"/>
            </w:tcBorders>
          </w:tcPr>
          <w:p w14:paraId="665AF157" w14:textId="694748B2" w:rsidR="009A2FC6" w:rsidRPr="5163B5CD" w:rsidRDefault="009A2FC6" w:rsidP="009A2FC6">
            <w:pPr>
              <w:pBdr>
                <w:top w:val="nil"/>
                <w:left w:val="nil"/>
                <w:bottom w:val="nil"/>
                <w:right w:val="nil"/>
                <w:between w:val="nil"/>
              </w:pBdr>
              <w:spacing w:after="120"/>
              <w:rPr>
                <w:rStyle w:val="fontstyle01"/>
                <w:rFonts w:asciiTheme="minorHAnsi" w:hAnsiTheme="minorHAnsi" w:cstheme="minorBidi"/>
              </w:rPr>
            </w:pPr>
            <w:r w:rsidRPr="00606B35">
              <w:rPr>
                <w:rStyle w:val="fontstyle01"/>
                <w:rFonts w:asciiTheme="minorHAnsi" w:hAnsiTheme="minorHAnsi" w:cstheme="minorBidi"/>
              </w:rPr>
              <w:t>Conduct once at initiation or during a follow-up visit one to three months after initiation.</w:t>
            </w:r>
          </w:p>
        </w:tc>
        <w:tc>
          <w:tcPr>
            <w:tcW w:w="5781" w:type="dxa"/>
            <w:tcBorders>
              <w:top w:val="single" w:sz="4" w:space="0" w:color="auto"/>
              <w:bottom w:val="single" w:sz="4" w:space="0" w:color="auto"/>
            </w:tcBorders>
          </w:tcPr>
          <w:p w14:paraId="49E986D9" w14:textId="6967F4E2" w:rsidR="009A2FC6" w:rsidRPr="00606B35" w:rsidRDefault="009A2FC6" w:rsidP="009A2FC6">
            <w:pPr>
              <w:spacing w:after="120"/>
              <w:rPr>
                <w:rFonts w:cstheme="minorHAnsi"/>
                <w:color w:val="000000"/>
              </w:rPr>
            </w:pPr>
            <w:r w:rsidRPr="00606B35">
              <w:rPr>
                <w:rFonts w:cstheme="minorHAnsi"/>
                <w:color w:val="000000"/>
              </w:rPr>
              <w:t>Conduct follow-up measurements every six to 12 months.</w:t>
            </w:r>
          </w:p>
        </w:tc>
      </w:tr>
    </w:tbl>
    <w:p w14:paraId="55B77101" w14:textId="1850C4A6" w:rsidR="00E122AB" w:rsidRPr="00AD48D6" w:rsidRDefault="004708B3" w:rsidP="00FE60D6">
      <w:pPr>
        <w:spacing w:before="120" w:after="120" w:line="240" w:lineRule="auto"/>
        <w:rPr>
          <w:rFonts w:cstheme="minorHAnsi"/>
          <w:sz w:val="20"/>
          <w:szCs w:val="20"/>
        </w:rPr>
      </w:pPr>
      <w:r w:rsidRPr="00AD48D6">
        <w:rPr>
          <w:rFonts w:cstheme="minorHAnsi"/>
          <w:sz w:val="20"/>
          <w:szCs w:val="20"/>
          <w:vertAlign w:val="superscript"/>
        </w:rPr>
        <w:t>0</w:t>
      </w:r>
      <w:r w:rsidR="00E122AB" w:rsidRPr="00AD48D6">
        <w:rPr>
          <w:rFonts w:cstheme="minorHAnsi"/>
          <w:sz w:val="20"/>
          <w:szCs w:val="20"/>
        </w:rPr>
        <w:t>Kidney-related comorbidities include chronic kidney disease or risk factors such as diabetes or hypertension.</w:t>
      </w:r>
      <w:r w:rsidR="000E2A37" w:rsidRPr="00AD48D6">
        <w:rPr>
          <w:rFonts w:cstheme="minorHAnsi"/>
          <w:sz w:val="20"/>
          <w:szCs w:val="20"/>
        </w:rPr>
        <w:t xml:space="preserve"> </w:t>
      </w:r>
      <w:r w:rsidR="00E122AB" w:rsidRPr="00AD48D6">
        <w:rPr>
          <w:rFonts w:cstheme="minorHAnsi"/>
          <w:sz w:val="20"/>
          <w:szCs w:val="20"/>
        </w:rPr>
        <w:t>People who are pregnant may be at an increased risk of kidney-related adverse events</w:t>
      </w:r>
      <w:r w:rsidR="00BC46F6">
        <w:rPr>
          <w:rFonts w:cstheme="minorHAnsi"/>
          <w:sz w:val="20"/>
          <w:szCs w:val="20"/>
        </w:rPr>
        <w:t>,</w:t>
      </w:r>
      <w:r w:rsidR="00E122AB" w:rsidRPr="00AD48D6">
        <w:rPr>
          <w:rFonts w:cstheme="minorHAnsi"/>
          <w:sz w:val="20"/>
          <w:szCs w:val="20"/>
        </w:rPr>
        <w:t xml:space="preserve"> and conditions such as</w:t>
      </w:r>
      <w:r w:rsidR="000E2A37" w:rsidRPr="00AD48D6">
        <w:rPr>
          <w:rFonts w:cstheme="minorHAnsi"/>
          <w:sz w:val="20"/>
          <w:szCs w:val="20"/>
        </w:rPr>
        <w:t xml:space="preserve"> </w:t>
      </w:r>
      <w:r w:rsidR="00E122AB" w:rsidRPr="00AD48D6">
        <w:rPr>
          <w:rFonts w:cstheme="minorHAnsi"/>
          <w:sz w:val="20"/>
          <w:szCs w:val="20"/>
        </w:rPr>
        <w:t>preeclampsia may cause kidney impairment, so pregnant people can be considered for more frequent kidney</w:t>
      </w:r>
      <w:r w:rsidR="000E2A37" w:rsidRPr="00AD48D6">
        <w:rPr>
          <w:rFonts w:cstheme="minorHAnsi"/>
          <w:sz w:val="20"/>
          <w:szCs w:val="20"/>
        </w:rPr>
        <w:t xml:space="preserve"> </w:t>
      </w:r>
      <w:r w:rsidR="00E122AB" w:rsidRPr="00AD48D6">
        <w:rPr>
          <w:rFonts w:cstheme="minorHAnsi"/>
          <w:sz w:val="20"/>
          <w:szCs w:val="20"/>
        </w:rPr>
        <w:t>function monitoring.</w:t>
      </w:r>
    </w:p>
    <w:p w14:paraId="6903A310" w14:textId="36E3CFDC" w:rsidR="00586470" w:rsidRPr="00AD48D6" w:rsidRDefault="004708B3" w:rsidP="002B177B">
      <w:pPr>
        <w:spacing w:after="120" w:line="240" w:lineRule="auto"/>
        <w:rPr>
          <w:rFonts w:cstheme="minorHAnsi"/>
          <w:sz w:val="20"/>
          <w:szCs w:val="20"/>
        </w:rPr>
      </w:pPr>
      <w:r w:rsidRPr="00AD48D6">
        <w:rPr>
          <w:rFonts w:cstheme="minorHAnsi"/>
          <w:sz w:val="20"/>
          <w:szCs w:val="20"/>
          <w:vertAlign w:val="superscript"/>
        </w:rPr>
        <w:t>1</w:t>
      </w:r>
      <w:r w:rsidR="00102C6C" w:rsidRPr="00AD48D6">
        <w:rPr>
          <w:rFonts w:cstheme="minorHAnsi"/>
          <w:sz w:val="20"/>
          <w:szCs w:val="20"/>
        </w:rPr>
        <w:t>eGFR ≥90 mL/min per 1.73 m</w:t>
      </w:r>
      <w:r w:rsidR="00102C6C" w:rsidRPr="00B25741">
        <w:rPr>
          <w:rFonts w:cstheme="minorHAnsi"/>
          <w:sz w:val="20"/>
          <w:szCs w:val="20"/>
          <w:vertAlign w:val="superscript"/>
        </w:rPr>
        <w:t>2</w:t>
      </w:r>
      <w:r w:rsidR="00102C6C" w:rsidRPr="00AD48D6">
        <w:rPr>
          <w:rFonts w:cstheme="minorHAnsi"/>
          <w:sz w:val="20"/>
          <w:szCs w:val="20"/>
        </w:rPr>
        <w:t xml:space="preserve"> or creatinine clearance of ≥90 mL/min</w:t>
      </w:r>
    </w:p>
    <w:p w14:paraId="2B63738F" w14:textId="0C51B22F" w:rsidR="00A51878" w:rsidRPr="00AD48D6" w:rsidRDefault="004708B3" w:rsidP="000E2A37">
      <w:pPr>
        <w:spacing w:after="120" w:line="240" w:lineRule="auto"/>
        <w:rPr>
          <w:rFonts w:cstheme="minorHAnsi"/>
          <w:sz w:val="20"/>
          <w:szCs w:val="20"/>
        </w:rPr>
      </w:pPr>
      <w:r w:rsidRPr="00AD48D6">
        <w:rPr>
          <w:rFonts w:cstheme="minorHAnsi"/>
          <w:sz w:val="20"/>
          <w:szCs w:val="20"/>
          <w:vertAlign w:val="superscript"/>
        </w:rPr>
        <w:t>2</w:t>
      </w:r>
      <w:r w:rsidR="00A51878" w:rsidRPr="00AD48D6">
        <w:rPr>
          <w:rFonts w:cstheme="minorHAnsi"/>
          <w:sz w:val="20"/>
          <w:szCs w:val="20"/>
        </w:rPr>
        <w:t>eGFR &lt;90 mL/min per 1.73 m</w:t>
      </w:r>
      <w:r w:rsidR="00A51878" w:rsidRPr="00B25741">
        <w:rPr>
          <w:rFonts w:cstheme="minorHAnsi"/>
          <w:sz w:val="20"/>
          <w:szCs w:val="20"/>
          <w:vertAlign w:val="superscript"/>
        </w:rPr>
        <w:t>2</w:t>
      </w:r>
      <w:r w:rsidR="00A51878" w:rsidRPr="00AD48D6">
        <w:rPr>
          <w:rFonts w:cstheme="minorHAnsi"/>
          <w:sz w:val="20"/>
          <w:szCs w:val="20"/>
        </w:rPr>
        <w:t xml:space="preserve"> or creatinine clearance of &lt;90 mL/min</w:t>
      </w:r>
    </w:p>
    <w:p w14:paraId="0A508156" w14:textId="77777777" w:rsidR="009B71A8" w:rsidRPr="00606B35" w:rsidRDefault="009B71A8">
      <w:pPr>
        <w:rPr>
          <w:rFonts w:cstheme="minorHAnsi"/>
          <w:b/>
        </w:rPr>
      </w:pPr>
      <w:r w:rsidRPr="00606B35">
        <w:rPr>
          <w:rFonts w:cstheme="minorHAnsi"/>
          <w:b/>
        </w:rPr>
        <w:br w:type="page"/>
      </w:r>
    </w:p>
    <w:p w14:paraId="19909347" w14:textId="62317972" w:rsidR="00AC7F6A" w:rsidRPr="00606B35" w:rsidRDefault="00AC7F6A" w:rsidP="000E2A37">
      <w:pPr>
        <w:spacing w:after="120" w:line="240" w:lineRule="auto"/>
        <w:rPr>
          <w:b/>
        </w:rPr>
      </w:pPr>
      <w:r w:rsidRPr="0294A27B">
        <w:rPr>
          <w:b/>
        </w:rPr>
        <w:lastRenderedPageBreak/>
        <w:t>Box</w:t>
      </w:r>
      <w:r w:rsidR="00A57836" w:rsidRPr="0294A27B">
        <w:rPr>
          <w:b/>
        </w:rPr>
        <w:t xml:space="preserve"> 4. </w:t>
      </w:r>
      <w:r w:rsidR="00A57836" w:rsidRPr="0294A27B">
        <w:rPr>
          <w:rStyle w:val="fontstyle01"/>
          <w:rFonts w:asciiTheme="minorHAnsi" w:hAnsiTheme="minorHAnsi" w:cstheme="minorBidi"/>
          <w:b/>
        </w:rPr>
        <w:t xml:space="preserve">Measuring </w:t>
      </w:r>
      <w:r w:rsidR="005815BE" w:rsidRPr="0294A27B">
        <w:rPr>
          <w:rStyle w:val="fontstyle01"/>
          <w:rFonts w:asciiTheme="minorHAnsi" w:hAnsiTheme="minorHAnsi" w:cstheme="minorBidi"/>
          <w:b/>
        </w:rPr>
        <w:t xml:space="preserve">kidney function of clients using oral </w:t>
      </w:r>
      <w:r w:rsidR="0093085B" w:rsidRPr="0294A27B">
        <w:rPr>
          <w:rStyle w:val="fontstyle01"/>
          <w:rFonts w:asciiTheme="minorHAnsi" w:hAnsiTheme="minorHAnsi" w:cstheme="minorBidi"/>
          <w:b/>
        </w:rPr>
        <w:t xml:space="preserve">PrEP </w:t>
      </w:r>
    </w:p>
    <w:tbl>
      <w:tblPr>
        <w:tblW w:w="0" w:type="auto"/>
        <w:tblLook w:val="04A0" w:firstRow="1" w:lastRow="0" w:firstColumn="1" w:lastColumn="0" w:noHBand="0" w:noVBand="1"/>
      </w:tblPr>
      <w:tblGrid>
        <w:gridCol w:w="10456"/>
      </w:tblGrid>
      <w:tr w:rsidR="00AC7F6A" w:rsidRPr="00606B35" w14:paraId="0E6824BF" w14:textId="77777777" w:rsidTr="00B25741">
        <w:trPr>
          <w:trHeight w:val="11313"/>
        </w:trPr>
        <w:tc>
          <w:tcPr>
            <w:tcW w:w="10456" w:type="dxa"/>
            <w:shd w:val="clear" w:color="auto" w:fill="D9E2F3" w:themeFill="accent1" w:themeFillTint="33"/>
          </w:tcPr>
          <w:p w14:paraId="49972A90" w14:textId="329D3C3E" w:rsidR="00175BEE" w:rsidRPr="00606B35" w:rsidRDefault="00AC7F6A" w:rsidP="00AC7F6A">
            <w:pPr>
              <w:rPr>
                <w:rStyle w:val="fontstyle01"/>
                <w:rFonts w:asciiTheme="minorHAnsi" w:hAnsiTheme="minorHAnsi" w:cstheme="minorBidi"/>
              </w:rPr>
            </w:pPr>
            <w:r w:rsidRPr="04E0DABB">
              <w:rPr>
                <w:rStyle w:val="fontstyle01"/>
                <w:rFonts w:asciiTheme="minorHAnsi" w:hAnsiTheme="minorHAnsi" w:cstheme="minorBidi"/>
              </w:rPr>
              <w:t>Glomerular filtration rate (GFR) is a measure of kidney function. A GFR of ≥90 mL/min per 1.73 m</w:t>
            </w:r>
            <w:r w:rsidR="00A57836" w:rsidRPr="04E0DABB">
              <w:rPr>
                <w:rStyle w:val="fontstyle01"/>
                <w:rFonts w:asciiTheme="minorHAnsi" w:hAnsiTheme="minorHAnsi" w:cstheme="minorBidi"/>
                <w:vertAlign w:val="superscript"/>
              </w:rPr>
              <w:t xml:space="preserve">2 </w:t>
            </w:r>
            <w:r w:rsidRPr="04E0DABB">
              <w:rPr>
                <w:rStyle w:val="fontstyle01"/>
                <w:rFonts w:asciiTheme="minorHAnsi" w:hAnsiTheme="minorHAnsi" w:cstheme="minorBidi"/>
              </w:rPr>
              <w:t>suggests normal kidney function. Urinary inulin clearance measurement is the gold standard for</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measuring GFR but </w:t>
            </w:r>
            <w:r w:rsidR="002D16A7" w:rsidRPr="04E0DABB">
              <w:rPr>
                <w:rStyle w:val="fontstyle01"/>
                <w:rFonts w:asciiTheme="minorHAnsi" w:hAnsiTheme="minorHAnsi" w:cstheme="minorBidi"/>
              </w:rPr>
              <w:t xml:space="preserve">is </w:t>
            </w:r>
            <w:r w:rsidRPr="04E0DABB">
              <w:rPr>
                <w:rStyle w:val="fontstyle01"/>
                <w:rFonts w:asciiTheme="minorHAnsi" w:hAnsiTheme="minorHAnsi" w:cstheme="minorBidi"/>
              </w:rPr>
              <w:t>difficult to implement routinely. Alternative measures use serum creatinine to</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determine </w:t>
            </w:r>
            <w:r w:rsidR="00BB0F43" w:rsidRPr="04E0DABB">
              <w:rPr>
                <w:rStyle w:val="fontstyle01"/>
                <w:rFonts w:asciiTheme="minorHAnsi" w:hAnsiTheme="minorHAnsi" w:cstheme="minorBidi"/>
              </w:rPr>
              <w:t>a</w:t>
            </w:r>
            <w:r w:rsidR="00BB0F43" w:rsidRPr="04E0DABB">
              <w:rPr>
                <w:rStyle w:val="fontstyle01"/>
                <w:rFonts w:cstheme="minorBidi"/>
              </w:rPr>
              <w:t xml:space="preserve">n </w:t>
            </w:r>
            <w:r w:rsidR="00E24778" w:rsidRPr="04E0DABB">
              <w:rPr>
                <w:rStyle w:val="fontstyle01"/>
                <w:rFonts w:cstheme="minorBidi"/>
              </w:rPr>
              <w:t>es</w:t>
            </w:r>
            <w:r w:rsidR="00E24778">
              <w:rPr>
                <w:rStyle w:val="fontstyle01"/>
              </w:rPr>
              <w:t>timated</w:t>
            </w:r>
            <w:r w:rsidR="001F490A">
              <w:rPr>
                <w:rStyle w:val="fontstyle01"/>
              </w:rPr>
              <w:t xml:space="preserve"> </w:t>
            </w:r>
            <w:r w:rsidRPr="04E0DABB">
              <w:rPr>
                <w:rStyle w:val="fontstyle01"/>
                <w:rFonts w:cstheme="minorBidi"/>
              </w:rPr>
              <w:t>GFR</w:t>
            </w:r>
            <w:r w:rsidR="00383F9F" w:rsidRPr="04E0DABB">
              <w:rPr>
                <w:rStyle w:val="fontstyle01"/>
                <w:rFonts w:cstheme="minorBidi"/>
              </w:rPr>
              <w:t xml:space="preserve"> (eGFR)</w:t>
            </w:r>
            <w:r w:rsidRPr="04E0DABB">
              <w:rPr>
                <w:rStyle w:val="fontstyle01"/>
                <w:rFonts w:asciiTheme="minorHAnsi" w:hAnsiTheme="minorHAnsi" w:cstheme="minorBidi"/>
              </w:rPr>
              <w:t>. National guidelines should be considered on preferred methods</w:t>
            </w:r>
            <w:r w:rsidR="0027547D" w:rsidRPr="04E0DABB">
              <w:rPr>
                <w:rStyle w:val="fontstyle01"/>
                <w:rFonts w:asciiTheme="minorHAnsi" w:hAnsiTheme="minorHAnsi" w:cstheme="minorBidi"/>
              </w:rPr>
              <w:t>,</w:t>
            </w:r>
            <w:r w:rsidRPr="04E0DABB">
              <w:rPr>
                <w:rStyle w:val="fontstyle01"/>
                <w:rFonts w:asciiTheme="minorHAnsi" w:hAnsiTheme="minorHAnsi" w:cstheme="minorBidi"/>
              </w:rPr>
              <w:t xml:space="preserve"> and</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eGFR should be calculated using an equation that has been validated for the specific population. </w:t>
            </w:r>
            <w:r w:rsidR="00245D9E" w:rsidRPr="04E0DABB">
              <w:rPr>
                <w:rStyle w:val="fontstyle01"/>
                <w:rFonts w:asciiTheme="minorHAnsi" w:hAnsiTheme="minorHAnsi" w:cstheme="minorBidi"/>
              </w:rPr>
              <w:t>The units for eGFR</w:t>
            </w:r>
            <w:r w:rsidR="00FC0712" w:rsidRPr="04E0DABB">
              <w:rPr>
                <w:rStyle w:val="fontstyle01"/>
                <w:rFonts w:asciiTheme="minorHAnsi" w:hAnsiTheme="minorHAnsi" w:cstheme="minorBidi"/>
              </w:rPr>
              <w:t xml:space="preserve"> a</w:t>
            </w:r>
            <w:r w:rsidR="00165C30" w:rsidRPr="04E0DABB">
              <w:rPr>
                <w:rStyle w:val="fontstyle01"/>
                <w:rFonts w:asciiTheme="minorHAnsi" w:hAnsiTheme="minorHAnsi" w:cstheme="minorBidi"/>
              </w:rPr>
              <w:t>r</w:t>
            </w:r>
            <w:r w:rsidR="00165C30" w:rsidRPr="04E0DABB">
              <w:rPr>
                <w:rStyle w:val="fontstyle01"/>
                <w:rFonts w:cstheme="minorBidi"/>
              </w:rPr>
              <w:t xml:space="preserve">e </w:t>
            </w:r>
            <w:r w:rsidR="00FC0712" w:rsidRPr="04E0DABB">
              <w:rPr>
                <w:rStyle w:val="fontstyle01"/>
                <w:rFonts w:asciiTheme="minorHAnsi" w:hAnsiTheme="minorHAnsi" w:cstheme="minorBidi"/>
              </w:rPr>
              <w:t>mL/min per 1.73m</w:t>
            </w:r>
            <w:r w:rsidR="00FC0712" w:rsidRPr="04E0DABB">
              <w:rPr>
                <w:rStyle w:val="fontstyle01"/>
                <w:rFonts w:asciiTheme="minorHAnsi" w:hAnsiTheme="minorHAnsi" w:cstheme="minorBidi"/>
                <w:vertAlign w:val="superscript"/>
              </w:rPr>
              <w:t>2</w:t>
            </w:r>
            <w:r w:rsidR="00FC0712" w:rsidRPr="04E0DABB">
              <w:rPr>
                <w:rStyle w:val="fontstyle01"/>
                <w:rFonts w:asciiTheme="minorHAnsi" w:hAnsiTheme="minorHAnsi" w:cstheme="minorBidi"/>
              </w:rPr>
              <w:t xml:space="preserve">. </w:t>
            </w:r>
            <w:r w:rsidR="00A077A9" w:rsidRPr="04E0DABB">
              <w:rPr>
                <w:rStyle w:val="fontstyle01"/>
                <w:rFonts w:asciiTheme="minorHAnsi" w:hAnsiTheme="minorHAnsi" w:cstheme="minorBidi"/>
              </w:rPr>
              <w:t>T</w:t>
            </w:r>
            <w:r w:rsidRPr="04E0DABB">
              <w:rPr>
                <w:rStyle w:val="fontstyle01"/>
                <w:rFonts w:asciiTheme="minorHAnsi" w:hAnsiTheme="minorHAnsi" w:cstheme="minorBidi"/>
              </w:rPr>
              <w:t>he Chronic Kidney Disease Epidemiology Collaboration (CKD-EPI) equation</w:t>
            </w:r>
            <w:r w:rsidR="00D23B17" w:rsidRPr="04E0DABB">
              <w:rPr>
                <w:rStyle w:val="fontstyle01"/>
                <w:rFonts w:asciiTheme="minorHAnsi" w:hAnsiTheme="minorHAnsi" w:cstheme="minorBidi"/>
              </w:rPr>
              <w:t>, which</w:t>
            </w:r>
            <w:r w:rsidRPr="04E0DABB">
              <w:rPr>
                <w:rStyle w:val="fontstyle01"/>
                <w:rFonts w:asciiTheme="minorHAnsi" w:hAnsiTheme="minorHAnsi" w:cstheme="minorBidi"/>
              </w:rPr>
              <w:t xml:space="preserve"> is commonly used </w:t>
            </w:r>
            <w:r w:rsidR="007819C2" w:rsidRPr="04E0DABB">
              <w:rPr>
                <w:rStyle w:val="fontstyle01"/>
                <w:rFonts w:asciiTheme="minorHAnsi" w:hAnsiTheme="minorHAnsi" w:cstheme="minorBidi"/>
              </w:rPr>
              <w:t xml:space="preserve">for </w:t>
            </w:r>
            <w:r w:rsidR="00D23B17" w:rsidRPr="04E0DABB">
              <w:rPr>
                <w:rStyle w:val="fontstyle01"/>
                <w:rFonts w:asciiTheme="minorHAnsi" w:hAnsiTheme="minorHAnsi" w:cstheme="minorBidi"/>
              </w:rPr>
              <w:t xml:space="preserve">eGFR determination, </w:t>
            </w:r>
            <w:r w:rsidR="00943428" w:rsidRPr="04E0DABB">
              <w:rPr>
                <w:rStyle w:val="fontstyle01"/>
                <w:rFonts w:asciiTheme="minorHAnsi" w:hAnsiTheme="minorHAnsi" w:cstheme="minorBidi"/>
              </w:rPr>
              <w:t>i</w:t>
            </w:r>
            <w:r w:rsidR="006227A4" w:rsidRPr="04E0DABB">
              <w:rPr>
                <w:rStyle w:val="fontstyle01"/>
                <w:rFonts w:asciiTheme="minorHAnsi" w:hAnsiTheme="minorHAnsi" w:cstheme="minorBidi"/>
              </w:rPr>
              <w:t>s</w:t>
            </w:r>
            <w:r w:rsidRPr="04E0DABB">
              <w:rPr>
                <w:rStyle w:val="fontstyle01"/>
                <w:rFonts w:asciiTheme="minorHAnsi" w:hAnsiTheme="minorHAnsi" w:cstheme="minorBidi"/>
              </w:rPr>
              <w:t xml:space="preserve"> considered a more accurate measure of GFR than Cockcroft-Gault</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estimated creatinine clearance. </w:t>
            </w:r>
          </w:p>
          <w:p w14:paraId="3C4DB18E" w14:textId="47489FBE" w:rsidR="00A57836" w:rsidRPr="00606B35" w:rsidRDefault="00AC7F6A" w:rsidP="00AC7F6A">
            <w:pPr>
              <w:rPr>
                <w:rStyle w:val="fontstyle01"/>
                <w:rFonts w:asciiTheme="minorHAnsi" w:hAnsiTheme="minorHAnsi" w:cstheme="minorHAnsi"/>
              </w:rPr>
            </w:pPr>
            <w:r w:rsidRPr="00606B35">
              <w:rPr>
                <w:rStyle w:val="fontstyle01"/>
                <w:rFonts w:asciiTheme="minorHAnsi" w:hAnsiTheme="minorHAnsi" w:cstheme="minorHAnsi"/>
              </w:rPr>
              <w:t xml:space="preserve">The 2021 version of the </w:t>
            </w:r>
            <w:r w:rsidR="00175BEE" w:rsidRPr="00606B35">
              <w:rPr>
                <w:rStyle w:val="fontstyle01"/>
                <w:rFonts w:asciiTheme="minorHAnsi" w:hAnsiTheme="minorHAnsi" w:cstheme="minorHAnsi"/>
              </w:rPr>
              <w:t xml:space="preserve">CKD-EPI </w:t>
            </w:r>
            <w:r w:rsidRPr="00606B35">
              <w:rPr>
                <w:rStyle w:val="fontstyle01"/>
                <w:rFonts w:asciiTheme="minorHAnsi" w:hAnsiTheme="minorHAnsi" w:cstheme="minorHAnsi"/>
              </w:rPr>
              <w:t>equation:</w:t>
            </w:r>
          </w:p>
          <w:p w14:paraId="67FE84C5" w14:textId="51B096AF" w:rsidR="00C83D8F"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female at birth</w:t>
            </w:r>
            <w:r w:rsidR="0093085B" w:rsidRPr="262D62E2">
              <w:rPr>
                <w:rStyle w:val="fontstyle21"/>
                <w:rFonts w:asciiTheme="minorHAnsi" w:hAnsiTheme="minorHAnsi"/>
                <w:vertAlign w:val="superscript"/>
              </w:rPr>
              <w:t>0,1</w:t>
            </w:r>
            <w:r w:rsidRPr="262D62E2">
              <w:rPr>
                <w:rStyle w:val="fontstyle21"/>
                <w:rFonts w:asciiTheme="minorHAnsi" w:hAnsiTheme="minorHAnsi"/>
              </w:rPr>
              <w:t xml:space="preserve"> with serum creatinine ≤0.7 mg/dL:</w:t>
            </w:r>
            <w:r>
              <w:br/>
            </w:r>
            <w:r w:rsidRPr="262D62E2">
              <w:rPr>
                <w:rStyle w:val="fontstyle31"/>
                <w:rFonts w:asciiTheme="minorHAnsi" w:hAnsiTheme="minorHAnsi"/>
              </w:rPr>
              <w:t>eGFR = 142 × (</w:t>
            </w:r>
            <w:proofErr w:type="spellStart"/>
            <w:r w:rsidRPr="262D62E2">
              <w:rPr>
                <w:rStyle w:val="fontstyle31"/>
                <w:rFonts w:asciiTheme="minorHAnsi" w:hAnsiTheme="minorHAnsi"/>
              </w:rPr>
              <w:t>S</w:t>
            </w:r>
            <w:r w:rsidRPr="262D62E2">
              <w:rPr>
                <w:rStyle w:val="fontstyle31"/>
                <w:rFonts w:asciiTheme="minorHAnsi" w:hAnsiTheme="minorHAnsi"/>
                <w:vertAlign w:val="subscript"/>
              </w:rPr>
              <w:t>cr</w:t>
            </w:r>
            <w:proofErr w:type="spellEnd"/>
            <w:r w:rsidRPr="262D62E2">
              <w:rPr>
                <w:rStyle w:val="fontstyle31"/>
                <w:rFonts w:asciiTheme="minorHAnsi" w:hAnsiTheme="minorHAnsi"/>
              </w:rPr>
              <w:t xml:space="preserve"> </w:t>
            </w:r>
            <w:r w:rsidR="00BF00F9" w:rsidRPr="262D62E2">
              <w:rPr>
                <w:rStyle w:val="fontstyle31"/>
                <w:rFonts w:asciiTheme="minorHAnsi" w:hAnsiTheme="minorHAnsi"/>
              </w:rPr>
              <w:t>/0</w:t>
            </w:r>
            <w:r w:rsidRPr="262D62E2">
              <w:rPr>
                <w:rStyle w:val="fontstyle31"/>
                <w:rFonts w:asciiTheme="minorHAnsi" w:hAnsiTheme="minorHAnsi"/>
              </w:rPr>
              <w:t>.7)</w:t>
            </w:r>
            <w:r w:rsidRPr="262D62E2">
              <w:rPr>
                <w:rStyle w:val="fontstyle31"/>
                <w:rFonts w:asciiTheme="minorHAnsi" w:hAnsiTheme="minorHAnsi"/>
                <w:vertAlign w:val="superscript"/>
              </w:rPr>
              <w:t xml:space="preserve">-0.241 </w:t>
            </w:r>
            <w:r w:rsidRPr="262D62E2">
              <w:rPr>
                <w:rStyle w:val="fontstyle31"/>
                <w:rFonts w:asciiTheme="minorHAnsi" w:hAnsiTheme="minorHAnsi"/>
              </w:rPr>
              <w:t>× 0.9938</w:t>
            </w:r>
            <w:r w:rsidRPr="262D62E2">
              <w:rPr>
                <w:rStyle w:val="fontstyle31"/>
                <w:rFonts w:asciiTheme="minorHAnsi" w:hAnsiTheme="minorHAnsi"/>
                <w:vertAlign w:val="superscript"/>
              </w:rPr>
              <w:t>age</w:t>
            </w:r>
            <w:r w:rsidRPr="262D62E2">
              <w:rPr>
                <w:rStyle w:val="fontstyle31"/>
                <w:rFonts w:asciiTheme="minorHAnsi" w:hAnsiTheme="minorHAnsi"/>
              </w:rPr>
              <w:t xml:space="preserve"> × 1.012</w:t>
            </w:r>
            <w:r>
              <w:br/>
            </w:r>
          </w:p>
          <w:p w14:paraId="5DDECF0E" w14:textId="150B27B2" w:rsidR="0093085B" w:rsidRPr="00606B35"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female at birth</w:t>
            </w:r>
            <w:r w:rsidR="0093085B" w:rsidRPr="262D62E2">
              <w:rPr>
                <w:rStyle w:val="fontstyle21"/>
                <w:rFonts w:asciiTheme="minorHAnsi" w:hAnsiTheme="minorHAnsi"/>
                <w:vertAlign w:val="superscript"/>
              </w:rPr>
              <w:t>0,1</w:t>
            </w:r>
            <w:r w:rsidRPr="262D62E2">
              <w:rPr>
                <w:rStyle w:val="fontstyle21"/>
                <w:rFonts w:asciiTheme="minorHAnsi" w:hAnsiTheme="minorHAnsi"/>
              </w:rPr>
              <w:t xml:space="preserve"> with serum creatinine &gt;0.7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/0.7</w:t>
            </w:r>
            <w:r w:rsidRPr="262D62E2">
              <w:rPr>
                <w:rStyle w:val="fontstyle31"/>
                <w:rFonts w:asciiTheme="minorHAnsi" w:hAnsiTheme="minorHAnsi"/>
              </w:rPr>
              <w:t>)</w:t>
            </w:r>
            <w:r w:rsidR="00F6606B" w:rsidRPr="262D62E2">
              <w:rPr>
                <w:rStyle w:val="fontstyle31"/>
                <w:rFonts w:asciiTheme="minorHAnsi" w:hAnsiTheme="minorHAnsi"/>
                <w:vertAlign w:val="superscript"/>
              </w:rPr>
              <w:t>-1</w:t>
            </w:r>
            <w:r w:rsidRPr="262D62E2">
              <w:rPr>
                <w:rStyle w:val="fontstyle31"/>
                <w:rFonts w:asciiTheme="minorHAnsi" w:hAnsiTheme="minorHAnsi"/>
                <w:vertAlign w:val="superscript"/>
              </w:rPr>
              <w:t>.2</w:t>
            </w:r>
            <w:r w:rsidRPr="262D62E2">
              <w:rPr>
                <w:rStyle w:val="fontstyle31"/>
                <w:rFonts w:asciiTheme="minorHAnsi" w:hAnsiTheme="minorHAnsi"/>
              </w:rPr>
              <w:t xml:space="preserve"> </w:t>
            </w:r>
            <w:r w:rsidR="00F6606B" w:rsidRPr="262D62E2">
              <w:rPr>
                <w:rStyle w:val="fontstyle31"/>
                <w:rFonts w:asciiTheme="minorHAnsi" w:hAnsiTheme="minorHAnsi"/>
              </w:rPr>
              <w:t>× 0.9938</w:t>
            </w:r>
            <w:r w:rsidR="00F6606B" w:rsidRPr="262D62E2">
              <w:rPr>
                <w:rStyle w:val="fontstyle31"/>
                <w:rFonts w:asciiTheme="minorHAnsi" w:hAnsiTheme="minorHAnsi"/>
                <w:vertAlign w:val="superscript"/>
              </w:rPr>
              <w:t>age</w:t>
            </w:r>
            <w:r w:rsidR="00F6606B" w:rsidRPr="262D62E2">
              <w:rPr>
                <w:rStyle w:val="fontstyle31"/>
                <w:rFonts w:asciiTheme="minorHAnsi" w:hAnsiTheme="minorHAnsi"/>
              </w:rPr>
              <w:t xml:space="preserve"> × 1.012</w:t>
            </w:r>
            <w:r>
              <w:br/>
            </w:r>
          </w:p>
          <w:p w14:paraId="76213432" w14:textId="0C89552F" w:rsidR="0093085B" w:rsidRPr="00606B35"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male at birth</w:t>
            </w:r>
            <w:r w:rsidR="0093085B" w:rsidRPr="262D62E2">
              <w:rPr>
                <w:rStyle w:val="fontstyle21"/>
                <w:rFonts w:asciiTheme="minorHAnsi" w:hAnsiTheme="minorHAnsi"/>
                <w:vertAlign w:val="superscript"/>
              </w:rPr>
              <w:t>0</w:t>
            </w:r>
            <w:r w:rsidRPr="262D62E2">
              <w:rPr>
                <w:rStyle w:val="fontstyle21"/>
                <w:rFonts w:asciiTheme="minorHAnsi" w:hAnsiTheme="minorHAnsi"/>
              </w:rPr>
              <w:t xml:space="preserve"> with serum creatinine ≤0.7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/0.9</w:t>
            </w:r>
            <w:r w:rsidRPr="262D62E2">
              <w:rPr>
                <w:rStyle w:val="fontstyle31"/>
                <w:rFonts w:asciiTheme="minorHAnsi" w:hAnsiTheme="minorHAnsi"/>
              </w:rPr>
              <w:t>)</w:t>
            </w:r>
            <w:r w:rsidR="00E53748" w:rsidRPr="262D62E2">
              <w:rPr>
                <w:rStyle w:val="fontstyle31"/>
                <w:rFonts w:asciiTheme="minorHAnsi" w:hAnsiTheme="minorHAnsi"/>
                <w:vertAlign w:val="superscript"/>
              </w:rPr>
              <w:t>-0</w:t>
            </w:r>
            <w:r w:rsidRPr="262D62E2">
              <w:rPr>
                <w:rStyle w:val="fontstyle31"/>
                <w:rFonts w:asciiTheme="minorHAnsi" w:hAnsiTheme="minorHAnsi"/>
                <w:vertAlign w:val="superscript"/>
              </w:rPr>
              <w:t>.302</w:t>
            </w:r>
            <w:r w:rsidRPr="262D62E2">
              <w:rPr>
                <w:rStyle w:val="fontstyle31"/>
                <w:rFonts w:asciiTheme="minorHAnsi" w:hAnsiTheme="minorHAnsi"/>
              </w:rPr>
              <w:t xml:space="preserve"> × 0.9938</w:t>
            </w:r>
            <w:r w:rsidRPr="262D62E2">
              <w:rPr>
                <w:rStyle w:val="fontstyle31"/>
                <w:rFonts w:asciiTheme="minorHAnsi" w:hAnsiTheme="minorHAnsi"/>
                <w:vertAlign w:val="superscript"/>
              </w:rPr>
              <w:t>age</w:t>
            </w:r>
            <w:r>
              <w:br/>
            </w:r>
          </w:p>
          <w:p w14:paraId="0CADB6C7" w14:textId="41A71075" w:rsidR="0093085B" w:rsidRPr="00606B35" w:rsidRDefault="00AC7F6A" w:rsidP="00B25741">
            <w:pPr>
              <w:spacing w:after="80" w:line="250" w:lineRule="auto"/>
              <w:rPr>
                <w:rStyle w:val="fontstyle01"/>
                <w:rFonts w:asciiTheme="minorHAnsi" w:hAnsiTheme="minorHAnsi" w:cstheme="minorBidi"/>
              </w:rPr>
            </w:pPr>
            <w:r w:rsidRPr="262D62E2">
              <w:rPr>
                <w:rStyle w:val="fontstyle21"/>
                <w:rFonts w:asciiTheme="minorHAnsi" w:hAnsiTheme="minorHAnsi"/>
              </w:rPr>
              <w:t>For people assigned male at birth</w:t>
            </w:r>
            <w:r w:rsidR="0093085B" w:rsidRPr="262D62E2">
              <w:rPr>
                <w:rStyle w:val="fontstyle21"/>
                <w:rFonts w:asciiTheme="minorHAnsi" w:hAnsiTheme="minorHAnsi"/>
                <w:vertAlign w:val="superscript"/>
              </w:rPr>
              <w:t>0</w:t>
            </w:r>
            <w:r w:rsidRPr="262D62E2">
              <w:rPr>
                <w:rStyle w:val="fontstyle21"/>
                <w:rFonts w:asciiTheme="minorHAnsi" w:hAnsiTheme="minorHAnsi"/>
              </w:rPr>
              <w:t xml:space="preserve"> with serum creatinine &gt;0.7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/0.9</w:t>
            </w:r>
            <w:r w:rsidRPr="262D62E2">
              <w:rPr>
                <w:rStyle w:val="fontstyle31"/>
                <w:rFonts w:asciiTheme="minorHAnsi" w:hAnsiTheme="minorHAnsi"/>
              </w:rPr>
              <w:t>)</w:t>
            </w:r>
            <w:r w:rsidR="00F6606B" w:rsidRPr="262D62E2">
              <w:rPr>
                <w:rStyle w:val="fontstyle31"/>
                <w:rFonts w:asciiTheme="minorHAnsi" w:hAnsiTheme="minorHAnsi"/>
                <w:vertAlign w:val="superscript"/>
              </w:rPr>
              <w:t>-1</w:t>
            </w:r>
            <w:r w:rsidRPr="262D62E2">
              <w:rPr>
                <w:rStyle w:val="fontstyle31"/>
                <w:rFonts w:asciiTheme="minorHAnsi" w:hAnsiTheme="minorHAnsi"/>
                <w:vertAlign w:val="superscript"/>
              </w:rPr>
              <w:t>.2</w:t>
            </w:r>
            <w:r w:rsidRPr="262D62E2">
              <w:rPr>
                <w:rStyle w:val="fontstyle31"/>
                <w:rFonts w:asciiTheme="minorHAnsi" w:hAnsiTheme="minorHAnsi"/>
              </w:rPr>
              <w:t xml:space="preserve"> × 0.9938</w:t>
            </w:r>
            <w:r w:rsidRPr="262D62E2">
              <w:rPr>
                <w:rStyle w:val="fontstyle31"/>
                <w:rFonts w:asciiTheme="minorHAnsi" w:hAnsiTheme="minorHAnsi"/>
                <w:vertAlign w:val="superscript"/>
              </w:rPr>
              <w:t>age</w:t>
            </w:r>
            <w:r>
              <w:br/>
            </w:r>
          </w:p>
          <w:p w14:paraId="4D5EAEF9" w14:textId="7E9194EE" w:rsidR="0093085B" w:rsidRPr="00606B35" w:rsidRDefault="00AC7F6A" w:rsidP="00AC7F6A">
            <w:pPr>
              <w:rPr>
                <w:rStyle w:val="fontstyle01"/>
                <w:rFonts w:asciiTheme="minorHAnsi" w:hAnsiTheme="minorHAnsi" w:cstheme="minorBidi"/>
              </w:rPr>
            </w:pPr>
            <w:r w:rsidRPr="262D62E2">
              <w:rPr>
                <w:rStyle w:val="fontstyle01"/>
                <w:rFonts w:asciiTheme="minorHAnsi" w:hAnsiTheme="minorHAnsi" w:cstheme="minorBidi"/>
              </w:rPr>
              <w:t xml:space="preserve">Where </w:t>
            </w:r>
            <w:proofErr w:type="spellStart"/>
            <w:r w:rsidRPr="262D62E2">
              <w:rPr>
                <w:rStyle w:val="fontstyle01"/>
                <w:rFonts w:asciiTheme="minorHAnsi" w:hAnsiTheme="minorHAnsi" w:cstheme="minorBidi"/>
              </w:rPr>
              <w:t>S</w:t>
            </w:r>
            <w:r w:rsidRPr="262D62E2">
              <w:rPr>
                <w:rStyle w:val="fontstyle01"/>
                <w:rFonts w:asciiTheme="minorHAnsi" w:hAnsiTheme="minorHAnsi" w:cstheme="minorBidi"/>
                <w:vertAlign w:val="subscript"/>
              </w:rPr>
              <w:t>cr</w:t>
            </w:r>
            <w:proofErr w:type="spellEnd"/>
            <w:r w:rsidRPr="262D62E2">
              <w:rPr>
                <w:rStyle w:val="fontstyle01"/>
                <w:rFonts w:asciiTheme="minorHAnsi" w:hAnsiTheme="minorHAnsi" w:cstheme="minorBidi"/>
              </w:rPr>
              <w:t xml:space="preserve"> is serum creatinine given in mg/dL </w:t>
            </w:r>
            <w:r w:rsidR="00312118" w:rsidRPr="262D62E2">
              <w:rPr>
                <w:rStyle w:val="fontstyle01"/>
                <w:rFonts w:asciiTheme="minorHAnsi" w:hAnsiTheme="minorHAnsi" w:cstheme="minorBidi"/>
              </w:rPr>
              <w:t>a</w:t>
            </w:r>
            <w:r w:rsidR="00312118" w:rsidRPr="262D62E2">
              <w:rPr>
                <w:rStyle w:val="fontstyle01"/>
                <w:rFonts w:cstheme="minorBidi"/>
              </w:rPr>
              <w:t xml:space="preserve">nd </w:t>
            </w:r>
            <w:r w:rsidRPr="262D62E2">
              <w:rPr>
                <w:rStyle w:val="fontstyle01"/>
                <w:rFonts w:asciiTheme="minorHAnsi" w:hAnsiTheme="minorHAnsi" w:cstheme="minorBidi"/>
              </w:rPr>
              <w:t>age</w:t>
            </w:r>
            <w:r w:rsidR="00312118" w:rsidRPr="262D62E2">
              <w:rPr>
                <w:rStyle w:val="fontstyle01"/>
                <w:rFonts w:asciiTheme="minorHAnsi" w:hAnsiTheme="minorHAnsi" w:cstheme="minorBidi"/>
              </w:rPr>
              <w:t xml:space="preserve"> </w:t>
            </w:r>
            <w:r w:rsidR="00312118" w:rsidRPr="262D62E2">
              <w:rPr>
                <w:rStyle w:val="fontstyle01"/>
                <w:rFonts w:cstheme="minorBidi"/>
              </w:rPr>
              <w:t>is given</w:t>
            </w:r>
            <w:r w:rsidRPr="262D62E2">
              <w:rPr>
                <w:rStyle w:val="fontstyle01"/>
                <w:rFonts w:asciiTheme="minorHAnsi" w:hAnsiTheme="minorHAnsi" w:cstheme="minorBidi"/>
              </w:rPr>
              <w:t xml:space="preserve"> in years</w:t>
            </w:r>
          </w:p>
          <w:p w14:paraId="19B41DFB" w14:textId="1BA9EF7F" w:rsidR="00432DDA" w:rsidRDefault="00AC7F6A" w:rsidP="00AC7F6A">
            <w:pPr>
              <w:rPr>
                <w:rStyle w:val="fontstyle01"/>
                <w:rFonts w:asciiTheme="minorHAnsi" w:hAnsiTheme="minorHAnsi" w:cstheme="minorBidi"/>
              </w:rPr>
            </w:pPr>
            <w:r>
              <w:br/>
            </w:r>
            <w:r w:rsidR="00006370" w:rsidRPr="10A43560">
              <w:rPr>
                <w:rStyle w:val="fontstyle01"/>
                <w:rFonts w:asciiTheme="minorHAnsi" w:hAnsiTheme="minorHAnsi" w:cstheme="minorBidi"/>
                <w:vertAlign w:val="superscript"/>
              </w:rPr>
              <w:t>0</w:t>
            </w:r>
            <w:r w:rsidRPr="10A43560">
              <w:rPr>
                <w:rStyle w:val="fontstyle01"/>
                <w:rFonts w:asciiTheme="minorHAnsi" w:hAnsiTheme="minorHAnsi" w:cstheme="minorBidi"/>
              </w:rPr>
              <w:t>Exposure to gender-affirming hormones may influence eGFR estimates. Gender</w:t>
            </w:r>
            <w:r>
              <w:br/>
            </w:r>
            <w:r w:rsidRPr="10A43560">
              <w:rPr>
                <w:rStyle w:val="fontstyle01"/>
                <w:rFonts w:asciiTheme="minorHAnsi" w:hAnsiTheme="minorHAnsi" w:cstheme="minorBidi"/>
              </w:rPr>
              <w:t xml:space="preserve">identity, rather than sex assigned at birth, may be more appropriate for individuals who have been </w:t>
            </w:r>
            <w:r w:rsidR="0CED8D1A" w:rsidRPr="10A43560">
              <w:rPr>
                <w:rStyle w:val="fontstyle01"/>
                <w:rFonts w:asciiTheme="minorHAnsi" w:hAnsiTheme="minorHAnsi" w:cstheme="minorBidi"/>
              </w:rPr>
              <w:t>using gender-affirming</w:t>
            </w:r>
            <w:r w:rsidRPr="10A43560">
              <w:rPr>
                <w:rStyle w:val="fontstyle01"/>
                <w:rFonts w:asciiTheme="minorHAnsi" w:hAnsiTheme="minorHAnsi" w:cstheme="minorBidi"/>
              </w:rPr>
              <w:t xml:space="preserve"> hormone</w:t>
            </w:r>
            <w:r w:rsidR="00FB4290">
              <w:rPr>
                <w:rStyle w:val="fontstyle01"/>
                <w:rFonts w:asciiTheme="minorHAnsi" w:hAnsiTheme="minorHAnsi" w:cstheme="minorBidi"/>
              </w:rPr>
              <w:t xml:space="preserve"> </w:t>
            </w:r>
            <w:r w:rsidRPr="10A43560">
              <w:rPr>
                <w:rStyle w:val="fontstyle01"/>
                <w:rFonts w:asciiTheme="minorHAnsi" w:hAnsiTheme="minorHAnsi" w:cstheme="minorBidi"/>
              </w:rPr>
              <w:t xml:space="preserve">therapy for over six months. However, </w:t>
            </w:r>
            <w:r w:rsidR="00F55E72" w:rsidRPr="10A43560">
              <w:rPr>
                <w:rStyle w:val="fontstyle01"/>
                <w:rFonts w:asciiTheme="minorHAnsi" w:hAnsiTheme="minorHAnsi" w:cstheme="minorBidi"/>
              </w:rPr>
              <w:t>given</w:t>
            </w:r>
            <w:r w:rsidRPr="10A43560">
              <w:rPr>
                <w:rStyle w:val="fontstyle01"/>
                <w:rFonts w:asciiTheme="minorHAnsi" w:hAnsiTheme="minorHAnsi" w:cstheme="minorBidi"/>
              </w:rPr>
              <w:t xml:space="preserve"> the limited research on estimating eGFR in transgender and</w:t>
            </w:r>
            <w:r w:rsidR="00F55E72" w:rsidRPr="10A43560">
              <w:rPr>
                <w:rStyle w:val="fontstyle01"/>
                <w:rFonts w:asciiTheme="minorHAnsi" w:hAnsiTheme="minorHAnsi" w:cstheme="minorBidi"/>
              </w:rPr>
              <w:t xml:space="preserve"> </w:t>
            </w:r>
            <w:r w:rsidRPr="10A43560">
              <w:rPr>
                <w:rStyle w:val="fontstyle01"/>
                <w:rFonts w:asciiTheme="minorHAnsi" w:hAnsiTheme="minorHAnsi" w:cstheme="minorBidi"/>
              </w:rPr>
              <w:t>nonbinary populations</w:t>
            </w:r>
            <w:r w:rsidR="000036DA" w:rsidRPr="10A43560">
              <w:rPr>
                <w:rStyle w:val="fontstyle01"/>
                <w:rFonts w:asciiTheme="minorHAnsi" w:hAnsiTheme="minorHAnsi" w:cstheme="minorBidi"/>
              </w:rPr>
              <w:t>,</w:t>
            </w:r>
            <w:r w:rsidRPr="10A43560">
              <w:rPr>
                <w:rStyle w:val="fontstyle01"/>
                <w:rFonts w:asciiTheme="minorHAnsi" w:hAnsiTheme="minorHAnsi" w:cstheme="minorBidi"/>
              </w:rPr>
              <w:t xml:space="preserve"> </w:t>
            </w:r>
            <w:r w:rsidR="005D61AB" w:rsidRPr="10A43560">
              <w:rPr>
                <w:rStyle w:val="fontstyle01"/>
                <w:rFonts w:asciiTheme="minorHAnsi" w:hAnsiTheme="minorHAnsi" w:cstheme="minorBidi"/>
              </w:rPr>
              <w:t>the</w:t>
            </w:r>
            <w:r w:rsidRPr="10A43560">
              <w:rPr>
                <w:rStyle w:val="fontstyle01"/>
                <w:rFonts w:asciiTheme="minorHAnsi" w:hAnsiTheme="minorHAnsi" w:cstheme="minorBidi"/>
              </w:rPr>
              <w:t xml:space="preserve"> ideal equation </w:t>
            </w:r>
            <w:r w:rsidR="00A022D6" w:rsidRPr="10A43560">
              <w:rPr>
                <w:rStyle w:val="fontstyle01"/>
                <w:rFonts w:asciiTheme="minorHAnsi" w:hAnsiTheme="minorHAnsi" w:cstheme="minorBidi"/>
              </w:rPr>
              <w:t>f</w:t>
            </w:r>
            <w:r w:rsidRPr="10A43560">
              <w:rPr>
                <w:rStyle w:val="fontstyle01"/>
                <w:rFonts w:asciiTheme="minorHAnsi" w:hAnsiTheme="minorHAnsi" w:cstheme="minorBidi"/>
              </w:rPr>
              <w:t>o</w:t>
            </w:r>
            <w:r w:rsidR="00A022D6" w:rsidRPr="10A43560">
              <w:rPr>
                <w:rStyle w:val="fontstyle01"/>
                <w:rFonts w:asciiTheme="minorHAnsi" w:hAnsiTheme="minorHAnsi" w:cstheme="minorBidi"/>
              </w:rPr>
              <w:t>r</w:t>
            </w:r>
            <w:r w:rsidRPr="10A43560">
              <w:rPr>
                <w:rStyle w:val="fontstyle01"/>
                <w:rFonts w:asciiTheme="minorHAnsi" w:hAnsiTheme="minorHAnsi" w:cstheme="minorBidi"/>
              </w:rPr>
              <w:t xml:space="preserve"> estimat</w:t>
            </w:r>
            <w:r w:rsidR="00C4041A" w:rsidRPr="10A43560">
              <w:rPr>
                <w:rStyle w:val="fontstyle01"/>
                <w:rFonts w:asciiTheme="minorHAnsi" w:hAnsiTheme="minorHAnsi" w:cstheme="minorBidi"/>
              </w:rPr>
              <w:t>ing</w:t>
            </w:r>
            <w:r w:rsidRPr="10A43560">
              <w:rPr>
                <w:rStyle w:val="fontstyle01"/>
                <w:rFonts w:asciiTheme="minorHAnsi" w:hAnsiTheme="minorHAnsi" w:cstheme="minorBidi"/>
              </w:rPr>
              <w:t xml:space="preserve"> eGFR in individuals who have been receiving gender</w:t>
            </w:r>
            <w:r w:rsidR="00C4041A" w:rsidRPr="10A43560">
              <w:rPr>
                <w:rStyle w:val="fontstyle01"/>
                <w:rFonts w:asciiTheme="minorHAnsi" w:hAnsiTheme="minorHAnsi" w:cstheme="minorBidi"/>
              </w:rPr>
              <w:t>-</w:t>
            </w:r>
            <w:r w:rsidRPr="10A43560">
              <w:rPr>
                <w:rStyle w:val="fontstyle01"/>
                <w:rFonts w:asciiTheme="minorHAnsi" w:hAnsiTheme="minorHAnsi" w:cstheme="minorBidi"/>
              </w:rPr>
              <w:t>affirming hormones should be considered on a case-by-case basis.</w:t>
            </w:r>
          </w:p>
          <w:p w14:paraId="76484F62" w14:textId="77777777" w:rsidR="002177D5" w:rsidRDefault="002177D5" w:rsidP="002177D5">
            <w:pPr>
              <w:rPr>
                <w:rFonts w:cstheme="minorHAnsi"/>
              </w:rPr>
            </w:pPr>
            <w:r>
              <w:rPr>
                <w:rStyle w:val="fontstyle01"/>
                <w:rFonts w:cstheme="minorHAnsi"/>
                <w:vertAlign w:val="superscript"/>
              </w:rPr>
              <w:t>1</w:t>
            </w:r>
            <w:r>
              <w:rPr>
                <w:rStyle w:val="fontstyle01"/>
                <w:rFonts w:cstheme="minorHAnsi"/>
              </w:rPr>
              <w:t>Equations to estimate eGFR may be inaccurate during pregnancy and may underestimate eGFR at lower values.</w:t>
            </w:r>
            <w:r>
              <w:rPr>
                <w:rFonts w:cstheme="minorHAnsi"/>
                <w:color w:val="000000"/>
              </w:rPr>
              <w:br/>
            </w:r>
            <w:r>
              <w:rPr>
                <w:rStyle w:val="fontstyle01"/>
                <w:rFonts w:cstheme="minorHAnsi"/>
              </w:rPr>
              <w:t>National guidelines should be considered for preferred methods on estimating kidney function during pregnancy.</w:t>
            </w:r>
          </w:p>
          <w:p w14:paraId="6E3F5336" w14:textId="13E22CFB" w:rsidR="0047670C" w:rsidRPr="00606B35" w:rsidRDefault="0047670C" w:rsidP="000E2A37">
            <w:pPr>
              <w:spacing w:after="120"/>
              <w:rPr>
                <w:rFonts w:cstheme="minorHAnsi"/>
              </w:rPr>
            </w:pPr>
          </w:p>
        </w:tc>
      </w:tr>
      <w:tr w:rsidR="000E531E" w:rsidRPr="00606B35" w14:paraId="7C40D2DA" w14:textId="77777777" w:rsidTr="00B25741">
        <w:tc>
          <w:tcPr>
            <w:tcW w:w="10456" w:type="dxa"/>
            <w:shd w:val="clear" w:color="auto" w:fill="C5E0B3" w:themeFill="accent6" w:themeFillTint="66"/>
          </w:tcPr>
          <w:p w14:paraId="114AC3A9" w14:textId="40604416" w:rsidR="000E531E" w:rsidRDefault="000E531E" w:rsidP="00091062">
            <w:pPr>
              <w:rPr>
                <w:color w:val="000000"/>
              </w:rPr>
            </w:pPr>
            <w:r w:rsidRPr="00606B35">
              <w:rPr>
                <w:b/>
              </w:rPr>
              <w:t>For consideration:</w:t>
            </w:r>
            <w:r w:rsidRPr="00606B35">
              <w:t xml:space="preserve"> Urinalysis is not included in WHO guidance, but some countries are using it as a proxy if creatinine testing is not available or results are delayed. If urinalysis is not normal, oral PrEP initiation is delayed until creatinine results are available. This section could be updated based on national preferences. Note that albuminuria is better than proteinuria for detection of early disease/impairment. Proteinuria indicates an elevated presence of protein in the urine (normal excretion should be &lt; 150 mg/d</w:t>
            </w:r>
            <w:r w:rsidR="00E857FB">
              <w:t>L</w:t>
            </w:r>
            <w:r w:rsidRPr="00606B35">
              <w:t xml:space="preserve">), while albuminuria is defined as an “abnormal loss of albumin in the urine.” Albumin is a type of plasma protein normally found in the urine in small quantities. Albuminuria is a common (though not universal) finding in </w:t>
            </w:r>
            <w:r w:rsidR="00E91B4B">
              <w:t xml:space="preserve">individuals with </w:t>
            </w:r>
            <w:r w:rsidRPr="00606B35">
              <w:t xml:space="preserve">chronic kidney disease; is the earliest indicator of glomerular diseases, such as diabetic glomerulosclerosis; and is typically present even before a decrease in the </w:t>
            </w:r>
            <w:r>
              <w:t>GFR</w:t>
            </w:r>
            <w:r w:rsidRPr="00606B35">
              <w:t xml:space="preserve"> or a rise in the serum creatinine. Albuminuria lasting more than three months, without or with a reduction in eGFR, is considered a marker of kidney damage.</w:t>
            </w:r>
          </w:p>
        </w:tc>
      </w:tr>
    </w:tbl>
    <w:p w14:paraId="319C14A1" w14:textId="07E1F0DA" w:rsidR="00BB5BA3" w:rsidRPr="00606B35" w:rsidRDefault="0069549E" w:rsidP="00831250">
      <w:pPr>
        <w:pStyle w:val="Heading1"/>
        <w:spacing w:after="120" w:line="240" w:lineRule="auto"/>
        <w:rPr>
          <w:rFonts w:asciiTheme="minorHAnsi" w:eastAsia="Calibri" w:hAnsiTheme="minorHAnsi" w:cstheme="minorBidi"/>
          <w:color w:val="000000"/>
        </w:rPr>
      </w:pPr>
      <w:bookmarkStart w:id="53" w:name="_Toc182989126"/>
      <w:r w:rsidRPr="10A43560">
        <w:rPr>
          <w:rFonts w:asciiTheme="minorHAnsi" w:hAnsiTheme="minorHAnsi" w:cstheme="minorBidi"/>
        </w:rPr>
        <w:lastRenderedPageBreak/>
        <w:t>PrEP F</w:t>
      </w:r>
      <w:r w:rsidR="00BB5BA3" w:rsidRPr="10A43560">
        <w:rPr>
          <w:rFonts w:asciiTheme="minorHAnsi" w:hAnsiTheme="minorHAnsi" w:cstheme="minorBidi"/>
        </w:rPr>
        <w:t>ollow-Up</w:t>
      </w:r>
      <w:r w:rsidRPr="10A43560">
        <w:rPr>
          <w:rFonts w:asciiTheme="minorHAnsi" w:hAnsiTheme="minorHAnsi" w:cstheme="minorBidi"/>
        </w:rPr>
        <w:t xml:space="preserve"> Visits</w:t>
      </w:r>
      <w:bookmarkEnd w:id="53"/>
    </w:p>
    <w:p w14:paraId="4A2798FC" w14:textId="6FF902FC" w:rsidR="007408FB" w:rsidRPr="00606B35" w:rsidRDefault="00BB5BA3" w:rsidP="00DD508F">
      <w:pPr>
        <w:spacing w:after="120" w:line="240" w:lineRule="auto"/>
        <w:rPr>
          <w:color w:val="000000" w:themeColor="text1"/>
        </w:rPr>
      </w:pPr>
      <w:r w:rsidRPr="10A43560">
        <w:rPr>
          <w:color w:val="000000" w:themeColor="text1"/>
        </w:rPr>
        <w:t xml:space="preserve">It is recommended that once on PrEP, clients </w:t>
      </w:r>
      <w:r w:rsidR="678CED06" w:rsidRPr="5163B5CD">
        <w:rPr>
          <w:color w:val="000000" w:themeColor="text1"/>
        </w:rPr>
        <w:t xml:space="preserve">using oral PrEP or the PrEP ring </w:t>
      </w:r>
      <w:r w:rsidRPr="10A43560">
        <w:rPr>
          <w:color w:val="000000" w:themeColor="text1"/>
        </w:rPr>
        <w:t xml:space="preserve">return after one month </w:t>
      </w:r>
      <w:r w:rsidR="00872E28" w:rsidRPr="10A43560">
        <w:rPr>
          <w:color w:val="000000" w:themeColor="text1"/>
        </w:rPr>
        <w:t xml:space="preserve">for </w:t>
      </w:r>
      <w:r w:rsidRPr="10A43560">
        <w:rPr>
          <w:color w:val="000000" w:themeColor="text1"/>
        </w:rPr>
        <w:t>assess</w:t>
      </w:r>
      <w:r w:rsidR="00872E28" w:rsidRPr="10A43560">
        <w:rPr>
          <w:color w:val="000000" w:themeColor="text1"/>
        </w:rPr>
        <w:t>ment</w:t>
      </w:r>
      <w:r w:rsidRPr="10A43560">
        <w:rPr>
          <w:color w:val="000000" w:themeColor="text1"/>
        </w:rPr>
        <w:t xml:space="preserve"> and confirm</w:t>
      </w:r>
      <w:r w:rsidR="00872E28" w:rsidRPr="10A43560">
        <w:rPr>
          <w:color w:val="000000" w:themeColor="text1"/>
        </w:rPr>
        <w:t>ation of</w:t>
      </w:r>
      <w:r w:rsidRPr="10A43560">
        <w:rPr>
          <w:color w:val="000000" w:themeColor="text1"/>
        </w:rPr>
        <w:t xml:space="preserve"> HIV-negative test status, assess</w:t>
      </w:r>
      <w:r w:rsidR="00872E28" w:rsidRPr="10A43560">
        <w:rPr>
          <w:color w:val="000000" w:themeColor="text1"/>
        </w:rPr>
        <w:t>ment</w:t>
      </w:r>
      <w:r w:rsidRPr="10A43560">
        <w:rPr>
          <w:color w:val="000000" w:themeColor="text1"/>
        </w:rPr>
        <w:t xml:space="preserve"> for early side effects, </w:t>
      </w:r>
      <w:r w:rsidR="00872E28" w:rsidRPr="10A43560">
        <w:rPr>
          <w:color w:val="000000" w:themeColor="text1"/>
        </w:rPr>
        <w:t xml:space="preserve">and </w:t>
      </w:r>
      <w:r w:rsidRPr="10A43560">
        <w:rPr>
          <w:color w:val="000000" w:themeColor="text1"/>
        </w:rPr>
        <w:t>discuss</w:t>
      </w:r>
      <w:r w:rsidR="00872E28" w:rsidRPr="10A43560">
        <w:rPr>
          <w:color w:val="000000" w:themeColor="text1"/>
        </w:rPr>
        <w:t>ion of</w:t>
      </w:r>
      <w:r w:rsidRPr="10A43560">
        <w:rPr>
          <w:color w:val="000000" w:themeColor="text1"/>
        </w:rPr>
        <w:t xml:space="preserve"> any difficulties with </w:t>
      </w:r>
      <w:r w:rsidR="00A336F5" w:rsidRPr="10A43560">
        <w:rPr>
          <w:color w:val="000000" w:themeColor="text1"/>
        </w:rPr>
        <w:t>effective use</w:t>
      </w:r>
      <w:r w:rsidR="00872E28" w:rsidRPr="10A43560">
        <w:rPr>
          <w:color w:val="000000" w:themeColor="text1"/>
        </w:rPr>
        <w:t xml:space="preserve"> </w:t>
      </w:r>
      <w:r w:rsidR="007F7653" w:rsidRPr="10A43560">
        <w:rPr>
          <w:color w:val="000000" w:themeColor="text1"/>
        </w:rPr>
        <w:t>and</w:t>
      </w:r>
      <w:r w:rsidRPr="10A43560">
        <w:rPr>
          <w:color w:val="000000" w:themeColor="text1"/>
        </w:rPr>
        <w:t xml:space="preserve"> any other client concerns. </w:t>
      </w:r>
      <w:r w:rsidR="0015270B">
        <w:rPr>
          <w:color w:val="000000" w:themeColor="text1"/>
        </w:rPr>
        <w:t xml:space="preserve">After the first follow-up visit, </w:t>
      </w:r>
      <w:r w:rsidR="000E531E">
        <w:rPr>
          <w:color w:val="000000" w:themeColor="text1"/>
        </w:rPr>
        <w:t>c</w:t>
      </w:r>
      <w:r w:rsidR="000E531E" w:rsidRPr="5163B5CD">
        <w:rPr>
          <w:color w:val="000000" w:themeColor="text1"/>
        </w:rPr>
        <w:t>lients</w:t>
      </w:r>
      <w:r w:rsidR="6100B4B9" w:rsidRPr="5163B5CD">
        <w:rPr>
          <w:color w:val="000000" w:themeColor="text1"/>
        </w:rPr>
        <w:t xml:space="preserve"> using oral PrEP or the PrEP ring</w:t>
      </w:r>
      <w:r w:rsidRPr="10A43560">
        <w:rPr>
          <w:color w:val="000000" w:themeColor="text1"/>
        </w:rPr>
        <w:t xml:space="preserve"> may return for follow-up visits</w:t>
      </w:r>
      <w:r w:rsidR="0073573A" w:rsidRPr="10A43560">
        <w:rPr>
          <w:color w:val="000000" w:themeColor="text1"/>
        </w:rPr>
        <w:t xml:space="preserve"> according to the</w:t>
      </w:r>
      <w:r w:rsidR="00B95013" w:rsidRPr="10A43560">
        <w:rPr>
          <w:color w:val="000000" w:themeColor="text1"/>
        </w:rPr>
        <w:t>ir needs and preferences</w:t>
      </w:r>
      <w:r w:rsidR="003854B2">
        <w:rPr>
          <w:color w:val="000000" w:themeColor="text1"/>
        </w:rPr>
        <w:t>;</w:t>
      </w:r>
      <w:r w:rsidR="00423527" w:rsidRPr="10A43560">
        <w:rPr>
          <w:color w:val="000000" w:themeColor="text1"/>
        </w:rPr>
        <w:t xml:space="preserve"> for </w:t>
      </w:r>
      <w:r w:rsidR="003854B2">
        <w:rPr>
          <w:color w:val="000000" w:themeColor="text1"/>
        </w:rPr>
        <w:t xml:space="preserve">example, </w:t>
      </w:r>
      <w:r w:rsidRPr="10A43560">
        <w:rPr>
          <w:color w:val="000000" w:themeColor="text1"/>
        </w:rPr>
        <w:t>every three months</w:t>
      </w:r>
      <w:r w:rsidR="21434CB8" w:rsidRPr="5163B5CD">
        <w:rPr>
          <w:color w:val="000000" w:themeColor="text1"/>
        </w:rPr>
        <w:t>. For</w:t>
      </w:r>
      <w:r w:rsidR="0085173B" w:rsidRPr="10A43560">
        <w:rPr>
          <w:color w:val="000000" w:themeColor="text1"/>
        </w:rPr>
        <w:t xml:space="preserve"> </w:t>
      </w:r>
      <w:r w:rsidR="00500B10">
        <w:rPr>
          <w:color w:val="000000" w:themeColor="text1"/>
        </w:rPr>
        <w:t xml:space="preserve">clients using </w:t>
      </w:r>
      <w:r w:rsidR="0085173B" w:rsidRPr="10A43560">
        <w:rPr>
          <w:color w:val="000000" w:themeColor="text1"/>
        </w:rPr>
        <w:t>CAB PrEP</w:t>
      </w:r>
      <w:r w:rsidR="00B95013" w:rsidRPr="10A43560">
        <w:rPr>
          <w:color w:val="000000" w:themeColor="text1"/>
        </w:rPr>
        <w:t xml:space="preserve">, </w:t>
      </w:r>
      <w:r w:rsidR="001000DF" w:rsidRPr="10A43560">
        <w:rPr>
          <w:color w:val="000000" w:themeColor="text1"/>
        </w:rPr>
        <w:t xml:space="preserve">follow-up </w:t>
      </w:r>
      <w:r w:rsidR="21434CB8" w:rsidRPr="5163B5CD">
        <w:rPr>
          <w:color w:val="000000" w:themeColor="text1"/>
        </w:rPr>
        <w:t xml:space="preserve">visits will be every </w:t>
      </w:r>
      <w:r w:rsidR="00E660E5">
        <w:rPr>
          <w:color w:val="000000" w:themeColor="text1"/>
        </w:rPr>
        <w:t>two months</w:t>
      </w:r>
      <w:r w:rsidR="0040607E">
        <w:rPr>
          <w:color w:val="000000" w:themeColor="text1"/>
        </w:rPr>
        <w:t xml:space="preserve"> after initiation injection 2</w:t>
      </w:r>
      <w:r w:rsidR="21434CB8" w:rsidRPr="5163B5CD">
        <w:rPr>
          <w:color w:val="000000" w:themeColor="text1"/>
        </w:rPr>
        <w:t>.</w:t>
      </w:r>
      <w:r w:rsidR="00B95013" w:rsidRPr="10A43560">
        <w:rPr>
          <w:color w:val="000000" w:themeColor="text1"/>
        </w:rPr>
        <w:t xml:space="preserve"> </w:t>
      </w:r>
      <w:r w:rsidR="00A51C27" w:rsidRPr="10A43560">
        <w:rPr>
          <w:color w:val="000000" w:themeColor="text1"/>
        </w:rPr>
        <w:t>Some</w:t>
      </w:r>
      <w:r w:rsidR="00500B10">
        <w:rPr>
          <w:color w:val="000000" w:themeColor="text1"/>
        </w:rPr>
        <w:t xml:space="preserve"> clients using the</w:t>
      </w:r>
      <w:r w:rsidR="00A51C27" w:rsidRPr="10A43560">
        <w:rPr>
          <w:color w:val="000000" w:themeColor="text1"/>
        </w:rPr>
        <w:t xml:space="preserve"> ring may prefer to return used rings to the health</w:t>
      </w:r>
      <w:r w:rsidR="007F7653" w:rsidRPr="10A43560">
        <w:rPr>
          <w:color w:val="000000" w:themeColor="text1"/>
        </w:rPr>
        <w:t xml:space="preserve"> </w:t>
      </w:r>
      <w:r w:rsidR="00A51C27" w:rsidRPr="10A43560">
        <w:rPr>
          <w:color w:val="000000" w:themeColor="text1"/>
        </w:rPr>
        <w:t xml:space="preserve">care provider/service provision point. </w:t>
      </w:r>
      <w:r w:rsidR="00094D44" w:rsidRPr="10A43560">
        <w:rPr>
          <w:color w:val="000000" w:themeColor="text1"/>
        </w:rPr>
        <w:t xml:space="preserve">If clients choose to </w:t>
      </w:r>
      <w:r w:rsidR="00822895" w:rsidRPr="10A43560">
        <w:rPr>
          <w:color w:val="000000" w:themeColor="text1"/>
        </w:rPr>
        <w:t xml:space="preserve">return </w:t>
      </w:r>
      <w:r w:rsidR="00394B48" w:rsidRPr="10A43560">
        <w:rPr>
          <w:color w:val="000000" w:themeColor="text1"/>
        </w:rPr>
        <w:t xml:space="preserve">used rings, </w:t>
      </w:r>
      <w:r w:rsidR="0055446C" w:rsidRPr="10A43560">
        <w:rPr>
          <w:color w:val="000000" w:themeColor="text1"/>
        </w:rPr>
        <w:t>th</w:t>
      </w:r>
      <w:r w:rsidR="00B154CF" w:rsidRPr="10A43560">
        <w:rPr>
          <w:color w:val="000000" w:themeColor="text1"/>
        </w:rPr>
        <w:t>o</w:t>
      </w:r>
      <w:r w:rsidR="0055446C" w:rsidRPr="10A43560">
        <w:rPr>
          <w:color w:val="000000" w:themeColor="text1"/>
        </w:rPr>
        <w:t>se rings</w:t>
      </w:r>
      <w:r w:rsidR="00A51C27" w:rsidRPr="10A43560">
        <w:rPr>
          <w:color w:val="000000" w:themeColor="text1"/>
        </w:rPr>
        <w:t xml:space="preserve"> should be disposed of </w:t>
      </w:r>
      <w:r w:rsidR="00532348" w:rsidRPr="10A43560">
        <w:rPr>
          <w:color w:val="000000" w:themeColor="text1"/>
        </w:rPr>
        <w:t xml:space="preserve">along with other </w:t>
      </w:r>
      <w:r w:rsidR="006E2703" w:rsidRPr="10A43560">
        <w:rPr>
          <w:color w:val="000000" w:themeColor="text1"/>
        </w:rPr>
        <w:t>medical waste</w:t>
      </w:r>
      <w:r w:rsidR="007F7653" w:rsidRPr="10A43560">
        <w:rPr>
          <w:color w:val="000000" w:themeColor="text1"/>
        </w:rPr>
        <w:t>,</w:t>
      </w:r>
      <w:r w:rsidR="006E2703" w:rsidRPr="10A43560">
        <w:rPr>
          <w:color w:val="000000" w:themeColor="text1"/>
        </w:rPr>
        <w:t xml:space="preserve"> such as used gloves, or</w:t>
      </w:r>
      <w:r w:rsidR="00A51C27" w:rsidRPr="10A43560">
        <w:rPr>
          <w:color w:val="000000" w:themeColor="text1"/>
        </w:rPr>
        <w:t xml:space="preserve"> in accordance with local requirements. </w:t>
      </w:r>
      <w:r w:rsidR="009D413B">
        <w:rPr>
          <w:color w:val="000000" w:themeColor="text1"/>
        </w:rPr>
        <w:t>Younger clients using PrEP and clients with other health, mental, emotional</w:t>
      </w:r>
      <w:r w:rsidR="000B1B52" w:rsidRPr="5163B5CD">
        <w:rPr>
          <w:color w:val="000000" w:themeColor="text1"/>
        </w:rPr>
        <w:t>,</w:t>
      </w:r>
      <w:r w:rsidR="009D413B">
        <w:rPr>
          <w:color w:val="000000" w:themeColor="text1"/>
        </w:rPr>
        <w:t xml:space="preserve"> and </w:t>
      </w:r>
      <w:r w:rsidR="00E25EB5">
        <w:rPr>
          <w:color w:val="000000" w:themeColor="text1"/>
        </w:rPr>
        <w:t xml:space="preserve">social needs may benefit from more frequent contact with PrEP providers. </w:t>
      </w:r>
    </w:p>
    <w:p w14:paraId="7E94D2DE" w14:textId="6A8DECCF" w:rsidR="007408FB" w:rsidRPr="00606B35" w:rsidRDefault="00822DC9" w:rsidP="00DD508F">
      <w:pPr>
        <w:pBdr>
          <w:top w:val="nil"/>
          <w:left w:val="nil"/>
          <w:bottom w:val="nil"/>
          <w:right w:val="nil"/>
          <w:between w:val="nil"/>
        </w:pBdr>
        <w:spacing w:after="120" w:line="240" w:lineRule="auto"/>
        <w:rPr>
          <w:color w:val="000000"/>
        </w:rPr>
      </w:pPr>
      <w:r w:rsidRPr="0294A27B">
        <w:rPr>
          <w:color w:val="000000" w:themeColor="text1"/>
        </w:rPr>
        <w:t>PrEP follow-up visits have</w:t>
      </w:r>
      <w:r w:rsidR="007408FB" w:rsidRPr="0294A27B">
        <w:rPr>
          <w:color w:val="000000" w:themeColor="text1"/>
        </w:rPr>
        <w:t xml:space="preserve"> four </w:t>
      </w:r>
      <w:r w:rsidR="001E11DA" w:rsidRPr="0294A27B">
        <w:rPr>
          <w:color w:val="000000" w:themeColor="text1"/>
        </w:rPr>
        <w:t>essential</w:t>
      </w:r>
      <w:r w:rsidR="007408FB" w:rsidRPr="0294A27B">
        <w:rPr>
          <w:color w:val="000000" w:themeColor="text1"/>
        </w:rPr>
        <w:t xml:space="preserve"> components</w:t>
      </w:r>
      <w:r w:rsidR="006418AA">
        <w:rPr>
          <w:color w:val="000000" w:themeColor="text1"/>
        </w:rPr>
        <w:t>:</w:t>
      </w:r>
      <w:r w:rsidR="00DD77F2">
        <w:rPr>
          <w:color w:val="000000" w:themeColor="text1"/>
        </w:rPr>
        <w:t xml:space="preserve"> </w:t>
      </w:r>
      <w:r w:rsidR="006418AA">
        <w:rPr>
          <w:color w:val="000000" w:themeColor="text1"/>
        </w:rPr>
        <w:t xml:space="preserve">1) </w:t>
      </w:r>
      <w:r w:rsidR="00DD77F2">
        <w:rPr>
          <w:color w:val="000000" w:themeColor="text1"/>
        </w:rPr>
        <w:t xml:space="preserve">HIV testing and counseling, </w:t>
      </w:r>
      <w:r w:rsidR="006418AA">
        <w:rPr>
          <w:color w:val="000000" w:themeColor="text1"/>
        </w:rPr>
        <w:t xml:space="preserve">2) </w:t>
      </w:r>
      <w:r w:rsidR="00DD77F2">
        <w:rPr>
          <w:color w:val="000000" w:themeColor="text1"/>
        </w:rPr>
        <w:t>assessment</w:t>
      </w:r>
      <w:r w:rsidR="000E165F">
        <w:rPr>
          <w:color w:val="000000" w:themeColor="text1"/>
        </w:rPr>
        <w:t xml:space="preserve">s, </w:t>
      </w:r>
      <w:r w:rsidR="003305B0">
        <w:rPr>
          <w:color w:val="000000" w:themeColor="text1"/>
        </w:rPr>
        <w:t xml:space="preserve">3) </w:t>
      </w:r>
      <w:r w:rsidR="00FF52C0">
        <w:rPr>
          <w:color w:val="000000" w:themeColor="text1"/>
        </w:rPr>
        <w:t xml:space="preserve">PrEP </w:t>
      </w:r>
      <w:r w:rsidR="000E165F">
        <w:rPr>
          <w:color w:val="000000" w:themeColor="text1"/>
        </w:rPr>
        <w:t xml:space="preserve">counseling, and </w:t>
      </w:r>
      <w:r w:rsidR="003305B0">
        <w:rPr>
          <w:color w:val="000000" w:themeColor="text1"/>
        </w:rPr>
        <w:t xml:space="preserve">4) </w:t>
      </w:r>
      <w:r w:rsidR="000E165F">
        <w:rPr>
          <w:color w:val="000000" w:themeColor="text1"/>
        </w:rPr>
        <w:t>PrEP prescription refill</w:t>
      </w:r>
      <w:r w:rsidR="003305B0">
        <w:rPr>
          <w:color w:val="000000" w:themeColor="text1"/>
        </w:rPr>
        <w:t>s</w:t>
      </w:r>
      <w:r w:rsidR="000E165F">
        <w:rPr>
          <w:color w:val="000000" w:themeColor="text1"/>
        </w:rPr>
        <w:t>, a</w:t>
      </w:r>
      <w:r w:rsidR="003305B0">
        <w:rPr>
          <w:color w:val="000000" w:themeColor="text1"/>
        </w:rPr>
        <w:t xml:space="preserve">s described </w:t>
      </w:r>
      <w:r w:rsidR="000E165F">
        <w:rPr>
          <w:color w:val="000000" w:themeColor="text1"/>
        </w:rPr>
        <w:t xml:space="preserve">below. </w:t>
      </w:r>
    </w:p>
    <w:p w14:paraId="71877B48" w14:textId="708A525E" w:rsidR="007408FB" w:rsidRPr="00606B35" w:rsidRDefault="007408FB" w:rsidP="00DD508F">
      <w:pPr>
        <w:pStyle w:val="Heading2"/>
        <w:spacing w:before="0" w:after="120" w:line="240" w:lineRule="auto"/>
        <w:rPr>
          <w:rFonts w:asciiTheme="minorHAnsi" w:hAnsiTheme="minorHAnsi" w:cstheme="minorHAnsi"/>
        </w:rPr>
      </w:pPr>
      <w:bookmarkStart w:id="54" w:name="_Toc182989127"/>
      <w:r w:rsidRPr="00606B35">
        <w:rPr>
          <w:rFonts w:asciiTheme="minorHAnsi" w:hAnsiTheme="minorHAnsi" w:cstheme="minorHAnsi"/>
        </w:rPr>
        <w:t xml:space="preserve">Component 1: HIV </w:t>
      </w:r>
      <w:r w:rsidR="00E9095D" w:rsidRPr="00606B35">
        <w:rPr>
          <w:rFonts w:asciiTheme="minorHAnsi" w:hAnsiTheme="minorHAnsi" w:cstheme="minorHAnsi"/>
        </w:rPr>
        <w:t>T</w:t>
      </w:r>
      <w:r w:rsidRPr="00606B35">
        <w:rPr>
          <w:rFonts w:asciiTheme="minorHAnsi" w:hAnsiTheme="minorHAnsi" w:cstheme="minorHAnsi"/>
        </w:rPr>
        <w:t xml:space="preserve">esting and </w:t>
      </w:r>
      <w:r w:rsidR="00E9095D" w:rsidRPr="00606B35">
        <w:rPr>
          <w:rFonts w:asciiTheme="minorHAnsi" w:hAnsiTheme="minorHAnsi" w:cstheme="minorHAnsi"/>
        </w:rPr>
        <w:t>C</w:t>
      </w:r>
      <w:r w:rsidRPr="00606B35">
        <w:rPr>
          <w:rFonts w:asciiTheme="minorHAnsi" w:hAnsiTheme="minorHAnsi" w:cstheme="minorHAnsi"/>
        </w:rPr>
        <w:t>ounseling</w:t>
      </w:r>
      <w:bookmarkEnd w:id="54"/>
      <w:r w:rsidRPr="00606B35">
        <w:rPr>
          <w:rFonts w:asciiTheme="minorHAnsi" w:hAnsiTheme="minorHAnsi" w:cstheme="minorHAnsi"/>
        </w:rPr>
        <w:t xml:space="preserve"> </w:t>
      </w:r>
    </w:p>
    <w:p w14:paraId="43EF0C4C" w14:textId="6D03040B" w:rsidR="00246F78" w:rsidRPr="00606B35" w:rsidRDefault="00F75D32" w:rsidP="00DD508F">
      <w:pPr>
        <w:spacing w:after="120" w:line="240" w:lineRule="auto"/>
      </w:pPr>
      <w:r w:rsidRPr="5163B5CD">
        <w:rPr>
          <w:color w:val="000000" w:themeColor="text1"/>
        </w:rPr>
        <w:t>HIV testing and counseling should be conducted per national guidelines</w:t>
      </w:r>
      <w:r w:rsidR="0096305A" w:rsidRPr="5163B5CD">
        <w:t xml:space="preserve"> </w:t>
      </w:r>
      <w:r w:rsidR="00A70FA9" w:rsidRPr="5163B5CD">
        <w:t xml:space="preserve">one month after starting PrEP (suggested) and every three months thereafter </w:t>
      </w:r>
      <w:r w:rsidR="0013375B" w:rsidRPr="5163B5CD">
        <w:t xml:space="preserve">for </w:t>
      </w:r>
      <w:r w:rsidR="2A1859B3" w:rsidRPr="5163B5CD">
        <w:t>clients</w:t>
      </w:r>
      <w:r w:rsidR="7213C4A0" w:rsidRPr="5163B5CD">
        <w:t xml:space="preserve"> using </w:t>
      </w:r>
      <w:r w:rsidR="0013375B" w:rsidRPr="5163B5CD">
        <w:t xml:space="preserve">oral PrEP and </w:t>
      </w:r>
      <w:r w:rsidR="00017E46">
        <w:t xml:space="preserve">the </w:t>
      </w:r>
      <w:r w:rsidR="0013375B" w:rsidRPr="5163B5CD">
        <w:t xml:space="preserve">ring, and </w:t>
      </w:r>
      <w:r w:rsidR="007C370F" w:rsidRPr="5163B5CD">
        <w:t xml:space="preserve">before each </w:t>
      </w:r>
      <w:r w:rsidR="007C370F">
        <w:t xml:space="preserve">injection </w:t>
      </w:r>
      <w:r w:rsidR="098D77B9">
        <w:t>for</w:t>
      </w:r>
      <w:r w:rsidR="6FE8DFE6" w:rsidRPr="5163B5CD">
        <w:t xml:space="preserve"> clients</w:t>
      </w:r>
      <w:r w:rsidR="007C370F" w:rsidRPr="5163B5CD">
        <w:t xml:space="preserve"> using CAB PrEP, </w:t>
      </w:r>
      <w:r w:rsidR="00246F78" w:rsidRPr="5163B5CD">
        <w:t>to inform decisions on whether to continue or discontinue PrEP.</w:t>
      </w:r>
      <w:r w:rsidR="00A70FA9" w:rsidRPr="5163B5CD">
        <w:t xml:space="preserve"> </w:t>
      </w:r>
      <w:r w:rsidR="00E55059">
        <w:t>HIV</w:t>
      </w:r>
      <w:r w:rsidR="00E55059" w:rsidRPr="5163B5CD">
        <w:t xml:space="preserve"> </w:t>
      </w:r>
      <w:r w:rsidR="005D3B72" w:rsidRPr="5163B5CD">
        <w:t xml:space="preserve">tests are limited in identifying AHI </w:t>
      </w:r>
      <w:r w:rsidR="00246F78" w:rsidRPr="5163B5CD">
        <w:t xml:space="preserve">in the “window” period from HIV </w:t>
      </w:r>
      <w:r w:rsidR="001E5667" w:rsidRPr="5163B5CD">
        <w:t xml:space="preserve">acquisition </w:t>
      </w:r>
      <w:r w:rsidR="00246F78" w:rsidRPr="5163B5CD">
        <w:t>to detection of antibodies.</w:t>
      </w:r>
      <w:r w:rsidR="00BA4CC9">
        <w:t xml:space="preserve"> HIVST may be appropriate for clients using oral PrEP or the PrEP ring</w:t>
      </w:r>
      <w:r w:rsidR="00B762B3">
        <w:t xml:space="preserve"> to support PrEP use. </w:t>
      </w:r>
    </w:p>
    <w:p w14:paraId="415E4A28" w14:textId="3B2A4CC3" w:rsidR="007408FB" w:rsidRPr="00606B35" w:rsidRDefault="007408FB" w:rsidP="00DD508F">
      <w:pPr>
        <w:pStyle w:val="Heading2"/>
        <w:spacing w:before="0" w:after="120" w:line="240" w:lineRule="auto"/>
        <w:rPr>
          <w:rFonts w:asciiTheme="minorHAnsi" w:hAnsiTheme="minorHAnsi" w:cstheme="minorHAnsi"/>
        </w:rPr>
      </w:pPr>
      <w:bookmarkStart w:id="55" w:name="_Toc182989128"/>
      <w:r w:rsidRPr="00606B35">
        <w:rPr>
          <w:rFonts w:asciiTheme="minorHAnsi" w:hAnsiTheme="minorHAnsi" w:cstheme="minorHAnsi"/>
        </w:rPr>
        <w:t xml:space="preserve">Component 2: </w:t>
      </w:r>
      <w:r w:rsidR="00E9095D" w:rsidRPr="00606B35">
        <w:rPr>
          <w:rFonts w:asciiTheme="minorHAnsi" w:hAnsiTheme="minorHAnsi" w:cstheme="minorHAnsi"/>
        </w:rPr>
        <w:t>Assessments</w:t>
      </w:r>
      <w:bookmarkEnd w:id="55"/>
    </w:p>
    <w:p w14:paraId="60CFA217" w14:textId="11B9BE2C" w:rsidR="00E9095D" w:rsidRDefault="00B00A77" w:rsidP="00DD508F">
      <w:pPr>
        <w:pBdr>
          <w:top w:val="nil"/>
          <w:left w:val="nil"/>
          <w:bottom w:val="nil"/>
          <w:right w:val="nil"/>
          <w:between w:val="nil"/>
        </w:pBdr>
        <w:spacing w:after="120" w:line="240" w:lineRule="auto"/>
      </w:pPr>
      <w:r w:rsidRPr="0294A27B">
        <w:rPr>
          <w:color w:val="000000" w:themeColor="text1"/>
        </w:rPr>
        <w:t xml:space="preserve">At each follow-up visit, </w:t>
      </w:r>
      <w:r w:rsidR="00130582" w:rsidRPr="0294A27B">
        <w:rPr>
          <w:color w:val="000000" w:themeColor="text1"/>
        </w:rPr>
        <w:t>clients should be assessed for effective PrEP use</w:t>
      </w:r>
      <w:r w:rsidR="002934BE" w:rsidRPr="0294A27B">
        <w:rPr>
          <w:color w:val="000000" w:themeColor="text1"/>
        </w:rPr>
        <w:t xml:space="preserve"> and </w:t>
      </w:r>
      <w:r w:rsidR="00F10EFD" w:rsidRPr="0294A27B">
        <w:rPr>
          <w:color w:val="000000" w:themeColor="text1"/>
        </w:rPr>
        <w:t>provided with</w:t>
      </w:r>
      <w:r w:rsidR="002934BE" w:rsidRPr="0294A27B">
        <w:rPr>
          <w:color w:val="000000" w:themeColor="text1"/>
        </w:rPr>
        <w:t xml:space="preserve"> support to identify and address challenges with effective PrEP use</w:t>
      </w:r>
      <w:r w:rsidR="00130582" w:rsidRPr="0294A27B">
        <w:rPr>
          <w:color w:val="000000" w:themeColor="text1"/>
        </w:rPr>
        <w:t>.</w:t>
      </w:r>
      <w:r w:rsidR="002934BE" w:rsidRPr="0294A27B">
        <w:rPr>
          <w:color w:val="000000" w:themeColor="text1"/>
        </w:rPr>
        <w:t xml:space="preserve"> </w:t>
      </w:r>
      <w:r w:rsidR="00246F78" w:rsidRPr="0294A27B">
        <w:rPr>
          <w:color w:val="000000" w:themeColor="text1"/>
        </w:rPr>
        <w:t xml:space="preserve">It is essential that </w:t>
      </w:r>
      <w:r w:rsidR="002934BE" w:rsidRPr="0294A27B">
        <w:rPr>
          <w:color w:val="000000" w:themeColor="text1"/>
        </w:rPr>
        <w:t>this</w:t>
      </w:r>
      <w:r w:rsidR="00246F78" w:rsidRPr="0294A27B">
        <w:rPr>
          <w:color w:val="000000" w:themeColor="text1"/>
        </w:rPr>
        <w:t xml:space="preserve"> be done in an open-ended</w:t>
      </w:r>
      <w:r w:rsidR="00F10EFD" w:rsidRPr="0294A27B">
        <w:rPr>
          <w:color w:val="000000" w:themeColor="text1"/>
        </w:rPr>
        <w:t>,</w:t>
      </w:r>
      <w:r w:rsidR="00246F78" w:rsidRPr="0294A27B">
        <w:rPr>
          <w:color w:val="000000" w:themeColor="text1"/>
        </w:rPr>
        <w:t xml:space="preserve"> nonjudgmental manner.</w:t>
      </w:r>
      <w:r w:rsidR="006F74AA" w:rsidRPr="0294A27B">
        <w:rPr>
          <w:color w:val="000000" w:themeColor="text1"/>
        </w:rPr>
        <w:t xml:space="preserve"> </w:t>
      </w:r>
      <w:r w:rsidR="00246F78" w:rsidRPr="0294A27B">
        <w:rPr>
          <w:color w:val="000000" w:themeColor="text1"/>
        </w:rPr>
        <w:t>A neutral assessment</w:t>
      </w:r>
      <w:r w:rsidR="00246F78" w:rsidRPr="0294A27B">
        <w:rPr>
          <w:i/>
          <w:color w:val="000000" w:themeColor="text1"/>
        </w:rPr>
        <w:t xml:space="preserve"> </w:t>
      </w:r>
      <w:r w:rsidR="00246F78" w:rsidRPr="0294A27B">
        <w:rPr>
          <w:color w:val="000000" w:themeColor="text1"/>
        </w:rPr>
        <w:t xml:space="preserve">of </w:t>
      </w:r>
      <w:r w:rsidR="002934BE" w:rsidRPr="0294A27B">
        <w:rPr>
          <w:color w:val="000000" w:themeColor="text1"/>
        </w:rPr>
        <w:t>PrEP use</w:t>
      </w:r>
      <w:r w:rsidR="00246F78" w:rsidRPr="0294A27B">
        <w:rPr>
          <w:color w:val="000000" w:themeColor="text1"/>
        </w:rPr>
        <w:t xml:space="preserve"> allows for a constructive discussion that can support the client in finding solutions to </w:t>
      </w:r>
      <w:r w:rsidR="00DC6C52" w:rsidRPr="0294A27B">
        <w:rPr>
          <w:color w:val="000000" w:themeColor="text1"/>
        </w:rPr>
        <w:t xml:space="preserve">effective use </w:t>
      </w:r>
      <w:r w:rsidR="00246F78" w:rsidRPr="0294A27B">
        <w:rPr>
          <w:color w:val="000000" w:themeColor="text1"/>
        </w:rPr>
        <w:t xml:space="preserve">challenges. If </w:t>
      </w:r>
      <w:r w:rsidR="00205913">
        <w:rPr>
          <w:color w:val="000000" w:themeColor="text1"/>
        </w:rPr>
        <w:t>the client has not used the PrEP method effectively or consistently enough to achieve preventi</w:t>
      </w:r>
      <w:r w:rsidR="002A0F6B">
        <w:rPr>
          <w:color w:val="000000" w:themeColor="text1"/>
        </w:rPr>
        <w:t>on</w:t>
      </w:r>
      <w:r w:rsidR="00246F78" w:rsidRPr="0294A27B">
        <w:rPr>
          <w:color w:val="000000" w:themeColor="text1"/>
        </w:rPr>
        <w:t>, the client should be assessed for PEP indication and symptoms of AHI</w:t>
      </w:r>
      <w:r w:rsidR="003459C4" w:rsidRPr="0294A27B">
        <w:rPr>
          <w:color w:val="000000" w:themeColor="text1"/>
        </w:rPr>
        <w:t>.</w:t>
      </w:r>
      <w:r w:rsidR="005B1D10" w:rsidRPr="0294A27B">
        <w:rPr>
          <w:color w:val="000000" w:themeColor="text1"/>
        </w:rPr>
        <w:t xml:space="preserve"> </w:t>
      </w:r>
      <w:r w:rsidR="005B1D10" w:rsidRPr="00C57D30">
        <w:rPr>
          <w:i/>
        </w:rPr>
        <w:t>Diagram 2</w:t>
      </w:r>
      <w:r w:rsidR="005B1D10" w:rsidRPr="0294A27B">
        <w:t xml:space="preserve"> outlines the algorithm </w:t>
      </w:r>
      <w:r w:rsidR="00662E37" w:rsidRPr="0294A27B">
        <w:t>for these assessments</w:t>
      </w:r>
      <w:r w:rsidR="001471D4" w:rsidRPr="0294A27B">
        <w:t>.</w:t>
      </w:r>
    </w:p>
    <w:p w14:paraId="55665E5E" w14:textId="77777777" w:rsidR="00C0638B" w:rsidRDefault="00C0638B" w:rsidP="00DD508F">
      <w:pPr>
        <w:pBdr>
          <w:top w:val="nil"/>
          <w:left w:val="nil"/>
          <w:bottom w:val="nil"/>
          <w:right w:val="nil"/>
          <w:between w:val="nil"/>
        </w:pBdr>
        <w:spacing w:after="120" w:line="240" w:lineRule="auto"/>
      </w:pPr>
    </w:p>
    <w:p w14:paraId="2920EDDB" w14:textId="77777777" w:rsidR="00C0638B" w:rsidRDefault="00C0638B" w:rsidP="00DD508F">
      <w:pPr>
        <w:pBdr>
          <w:top w:val="nil"/>
          <w:left w:val="nil"/>
          <w:bottom w:val="nil"/>
          <w:right w:val="nil"/>
          <w:between w:val="nil"/>
        </w:pBdr>
        <w:spacing w:after="120" w:line="240" w:lineRule="auto"/>
      </w:pPr>
    </w:p>
    <w:p w14:paraId="33770C1C" w14:textId="77777777" w:rsidR="00C0638B" w:rsidRDefault="00C0638B" w:rsidP="00DD508F">
      <w:pPr>
        <w:pBdr>
          <w:top w:val="nil"/>
          <w:left w:val="nil"/>
          <w:bottom w:val="nil"/>
          <w:right w:val="nil"/>
          <w:between w:val="nil"/>
        </w:pBdr>
        <w:spacing w:after="120" w:line="240" w:lineRule="auto"/>
      </w:pPr>
    </w:p>
    <w:p w14:paraId="58A31DA3" w14:textId="77777777" w:rsidR="00C0638B" w:rsidRDefault="00C0638B" w:rsidP="00DD508F">
      <w:pPr>
        <w:pBdr>
          <w:top w:val="nil"/>
          <w:left w:val="nil"/>
          <w:bottom w:val="nil"/>
          <w:right w:val="nil"/>
          <w:between w:val="nil"/>
        </w:pBdr>
        <w:spacing w:after="120" w:line="240" w:lineRule="auto"/>
      </w:pPr>
    </w:p>
    <w:p w14:paraId="1A500B4B" w14:textId="77777777" w:rsidR="00C0638B" w:rsidRDefault="00C0638B" w:rsidP="00DD508F">
      <w:pPr>
        <w:pBdr>
          <w:top w:val="nil"/>
          <w:left w:val="nil"/>
          <w:bottom w:val="nil"/>
          <w:right w:val="nil"/>
          <w:between w:val="nil"/>
        </w:pBdr>
        <w:spacing w:after="120" w:line="240" w:lineRule="auto"/>
      </w:pPr>
    </w:p>
    <w:p w14:paraId="1E1C4217" w14:textId="77777777" w:rsidR="00C0638B" w:rsidRDefault="00C0638B" w:rsidP="00DD508F">
      <w:pPr>
        <w:pBdr>
          <w:top w:val="nil"/>
          <w:left w:val="nil"/>
          <w:bottom w:val="nil"/>
          <w:right w:val="nil"/>
          <w:between w:val="nil"/>
        </w:pBdr>
        <w:spacing w:after="120" w:line="240" w:lineRule="auto"/>
      </w:pPr>
    </w:p>
    <w:p w14:paraId="73D9F8E7" w14:textId="77777777" w:rsidR="00C0638B" w:rsidRDefault="00C0638B" w:rsidP="00DD508F">
      <w:pPr>
        <w:pBdr>
          <w:top w:val="nil"/>
          <w:left w:val="nil"/>
          <w:bottom w:val="nil"/>
          <w:right w:val="nil"/>
          <w:between w:val="nil"/>
        </w:pBdr>
        <w:spacing w:after="120" w:line="240" w:lineRule="auto"/>
      </w:pPr>
    </w:p>
    <w:p w14:paraId="2637E45F" w14:textId="77777777" w:rsidR="00C0638B" w:rsidRDefault="00C0638B" w:rsidP="00DD508F">
      <w:pPr>
        <w:pBdr>
          <w:top w:val="nil"/>
          <w:left w:val="nil"/>
          <w:bottom w:val="nil"/>
          <w:right w:val="nil"/>
          <w:between w:val="nil"/>
        </w:pBdr>
        <w:spacing w:after="120" w:line="240" w:lineRule="auto"/>
      </w:pPr>
    </w:p>
    <w:p w14:paraId="33AC8237" w14:textId="77777777" w:rsidR="00C0638B" w:rsidRDefault="00C0638B" w:rsidP="00DD508F">
      <w:pPr>
        <w:pBdr>
          <w:top w:val="nil"/>
          <w:left w:val="nil"/>
          <w:bottom w:val="nil"/>
          <w:right w:val="nil"/>
          <w:between w:val="nil"/>
        </w:pBdr>
        <w:spacing w:after="120" w:line="240" w:lineRule="auto"/>
      </w:pPr>
    </w:p>
    <w:p w14:paraId="19D6FBBD" w14:textId="77777777" w:rsidR="00C0638B" w:rsidRDefault="00C0638B" w:rsidP="00DD508F">
      <w:pPr>
        <w:pBdr>
          <w:top w:val="nil"/>
          <w:left w:val="nil"/>
          <w:bottom w:val="nil"/>
          <w:right w:val="nil"/>
          <w:between w:val="nil"/>
        </w:pBdr>
        <w:spacing w:after="120" w:line="240" w:lineRule="auto"/>
      </w:pPr>
    </w:p>
    <w:p w14:paraId="0FDA0B41" w14:textId="77777777" w:rsidR="00C0638B" w:rsidRDefault="00C0638B" w:rsidP="00DD508F">
      <w:pPr>
        <w:pBdr>
          <w:top w:val="nil"/>
          <w:left w:val="nil"/>
          <w:bottom w:val="nil"/>
          <w:right w:val="nil"/>
          <w:between w:val="nil"/>
        </w:pBdr>
        <w:spacing w:after="120" w:line="240" w:lineRule="auto"/>
      </w:pPr>
    </w:p>
    <w:p w14:paraId="52B364F9" w14:textId="77777777" w:rsidR="00C0638B" w:rsidRDefault="00C0638B" w:rsidP="00DD508F">
      <w:pPr>
        <w:pBdr>
          <w:top w:val="nil"/>
          <w:left w:val="nil"/>
          <w:bottom w:val="nil"/>
          <w:right w:val="nil"/>
          <w:between w:val="nil"/>
        </w:pBdr>
        <w:spacing w:after="120" w:line="240" w:lineRule="auto"/>
      </w:pPr>
    </w:p>
    <w:p w14:paraId="1BFE02AD" w14:textId="77777777" w:rsidR="00C0638B" w:rsidRDefault="00C0638B" w:rsidP="00DD508F">
      <w:pPr>
        <w:pBdr>
          <w:top w:val="nil"/>
          <w:left w:val="nil"/>
          <w:bottom w:val="nil"/>
          <w:right w:val="nil"/>
          <w:between w:val="nil"/>
        </w:pBdr>
        <w:spacing w:after="120" w:line="240" w:lineRule="auto"/>
      </w:pPr>
    </w:p>
    <w:p w14:paraId="6C6D731B" w14:textId="77777777" w:rsidR="00C0638B" w:rsidRDefault="00C0638B" w:rsidP="00DD508F">
      <w:pPr>
        <w:pBdr>
          <w:top w:val="nil"/>
          <w:left w:val="nil"/>
          <w:bottom w:val="nil"/>
          <w:right w:val="nil"/>
          <w:between w:val="nil"/>
        </w:pBdr>
        <w:spacing w:after="120" w:line="240" w:lineRule="auto"/>
      </w:pPr>
    </w:p>
    <w:p w14:paraId="2EBAA866" w14:textId="77777777" w:rsidR="00C0638B" w:rsidRDefault="00C0638B" w:rsidP="00DD508F">
      <w:pPr>
        <w:pBdr>
          <w:top w:val="nil"/>
          <w:left w:val="nil"/>
          <w:bottom w:val="nil"/>
          <w:right w:val="nil"/>
          <w:between w:val="nil"/>
        </w:pBdr>
        <w:spacing w:after="120" w:line="240" w:lineRule="auto"/>
      </w:pPr>
    </w:p>
    <w:p w14:paraId="29E55718" w14:textId="77777777" w:rsidR="00C0638B" w:rsidRDefault="00C0638B" w:rsidP="00DD508F">
      <w:pPr>
        <w:pBdr>
          <w:top w:val="nil"/>
          <w:left w:val="nil"/>
          <w:bottom w:val="nil"/>
          <w:right w:val="nil"/>
          <w:between w:val="nil"/>
        </w:pBdr>
        <w:spacing w:after="120" w:line="240" w:lineRule="auto"/>
      </w:pPr>
    </w:p>
    <w:p w14:paraId="28992947" w14:textId="77777777" w:rsidR="00C0638B" w:rsidRDefault="00C0638B" w:rsidP="00DD508F">
      <w:pPr>
        <w:pBdr>
          <w:top w:val="nil"/>
          <w:left w:val="nil"/>
          <w:bottom w:val="nil"/>
          <w:right w:val="nil"/>
          <w:between w:val="nil"/>
        </w:pBdr>
        <w:spacing w:after="120" w:line="240" w:lineRule="auto"/>
      </w:pPr>
    </w:p>
    <w:p w14:paraId="2A099BE9" w14:textId="77777777" w:rsidR="00C0638B" w:rsidRDefault="00C0638B" w:rsidP="00DD508F">
      <w:pPr>
        <w:pBdr>
          <w:top w:val="nil"/>
          <w:left w:val="nil"/>
          <w:bottom w:val="nil"/>
          <w:right w:val="nil"/>
          <w:between w:val="nil"/>
        </w:pBdr>
        <w:spacing w:after="120" w:line="240" w:lineRule="auto"/>
      </w:pPr>
    </w:p>
    <w:p w14:paraId="7E4CD7FF" w14:textId="7C939EA6" w:rsidR="000A28FD" w:rsidRDefault="77D4FD67" w:rsidP="00ED795C">
      <w:pPr>
        <w:rPr>
          <w:b/>
          <w:bCs/>
        </w:rPr>
      </w:pPr>
      <w:r w:rsidRPr="1D9AD929">
        <w:rPr>
          <w:b/>
          <w:bCs/>
        </w:rPr>
        <w:lastRenderedPageBreak/>
        <w:t>Diagram 2</w:t>
      </w:r>
      <w:r w:rsidR="3D723B46" w:rsidRPr="1D9AD929">
        <w:rPr>
          <w:b/>
          <w:bCs/>
        </w:rPr>
        <w:t>.</w:t>
      </w:r>
      <w:r w:rsidRPr="1D9AD929">
        <w:rPr>
          <w:b/>
          <w:bCs/>
        </w:rPr>
        <w:t xml:space="preserve"> PrEP Follow-Up – HIV Exposure, AHI, and </w:t>
      </w:r>
      <w:r w:rsidR="006952DE">
        <w:rPr>
          <w:b/>
          <w:bCs/>
        </w:rPr>
        <w:t xml:space="preserve">Prevention </w:t>
      </w:r>
      <w:r w:rsidR="00CE6097">
        <w:rPr>
          <w:b/>
          <w:bCs/>
        </w:rPr>
        <w:t>Effective Use</w:t>
      </w:r>
      <w:r w:rsidR="00CE6097" w:rsidRPr="1D9AD929">
        <w:rPr>
          <w:b/>
          <w:bCs/>
        </w:rPr>
        <w:t xml:space="preserve"> </w:t>
      </w:r>
      <w:r w:rsidRPr="1D9AD929">
        <w:rPr>
          <w:b/>
          <w:bCs/>
        </w:rPr>
        <w:t>Assessment</w:t>
      </w:r>
    </w:p>
    <w:p w14:paraId="7B765C95" w14:textId="463A42E9" w:rsidR="00B65D30" w:rsidRDefault="00C0638B" w:rsidP="00ED795C">
      <w:pPr>
        <w:spacing w:after="120" w:line="240" w:lineRule="auto"/>
        <w:jc w:val="center"/>
        <w:rPr>
          <w:b/>
          <w:bCs/>
        </w:rPr>
      </w:pPr>
      <w:r>
        <w:rPr>
          <w:b/>
          <w:bCs/>
          <w:noProof/>
        </w:rPr>
        <w:drawing>
          <wp:inline distT="0" distB="0" distL="0" distR="0" wp14:anchorId="7A7E2503" wp14:editId="4131C226">
            <wp:extent cx="6199628" cy="6324600"/>
            <wp:effectExtent l="0" t="0" r="0" b="0"/>
            <wp:docPr id="24621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b="23219"/>
                    <a:stretch/>
                  </pic:blipFill>
                  <pic:spPr bwMode="auto">
                    <a:xfrm>
                      <a:off x="0" y="0"/>
                      <a:ext cx="6206975" cy="6332095"/>
                    </a:xfrm>
                    <a:prstGeom prst="rect">
                      <a:avLst/>
                    </a:prstGeom>
                    <a:noFill/>
                    <a:ln>
                      <a:noFill/>
                    </a:ln>
                    <a:extLst>
                      <a:ext uri="{53640926-AAD7-44D8-BBD7-CCE9431645EC}">
                        <a14:shadowObscured xmlns:a14="http://schemas.microsoft.com/office/drawing/2010/main"/>
                      </a:ext>
                    </a:extLst>
                  </pic:spPr>
                </pic:pic>
              </a:graphicData>
            </a:graphic>
          </wp:inline>
        </w:drawing>
      </w:r>
    </w:p>
    <w:p w14:paraId="73811070" w14:textId="69A914CE" w:rsidR="00270B46" w:rsidRPr="00606B35" w:rsidRDefault="00270B46" w:rsidP="00AC2B46">
      <w:pPr>
        <w:spacing w:after="120" w:line="240" w:lineRule="auto"/>
        <w:jc w:val="center"/>
        <w:rPr>
          <w:rFonts w:cstheme="minorHAnsi"/>
          <w:i/>
        </w:rPr>
      </w:pPr>
    </w:p>
    <w:p w14:paraId="3488B5AB" w14:textId="77777777" w:rsidR="00B60700" w:rsidRPr="006952DE" w:rsidRDefault="00B60700" w:rsidP="00B60700">
      <w:pPr>
        <w:spacing w:before="120" w:after="0" w:line="240" w:lineRule="auto"/>
        <w:rPr>
          <w:rFonts w:eastAsiaTheme="majorEastAsia" w:cstheme="minorHAnsi"/>
          <w:color w:val="000000" w:themeColor="text1"/>
          <w:sz w:val="20"/>
          <w:szCs w:val="20"/>
        </w:rPr>
      </w:pPr>
      <w:r w:rsidRPr="006952DE">
        <w:rPr>
          <w:rFonts w:eastAsiaTheme="majorEastAsia" w:cstheme="minorHAnsi"/>
          <w:color w:val="000000" w:themeColor="text1"/>
          <w:sz w:val="20"/>
          <w:szCs w:val="20"/>
          <w:vertAlign w:val="superscript"/>
        </w:rPr>
        <w:t xml:space="preserve">0 </w:t>
      </w:r>
      <w:r w:rsidRPr="006952DE">
        <w:rPr>
          <w:rFonts w:eastAsiaTheme="majorEastAsia" w:cstheme="minorHAnsi"/>
          <w:color w:val="000000" w:themeColor="text1"/>
          <w:sz w:val="20"/>
          <w:szCs w:val="20"/>
        </w:rPr>
        <w:t>An answer of “NO” to the question “Potentially exposed to HIV in past 72 hours?” means no potential past exposure to HIV at all or potential HIV exposure that was 73+ hours ago.</w:t>
      </w:r>
    </w:p>
    <w:p w14:paraId="416D37F3" w14:textId="627F4B24" w:rsidR="00E42CA0" w:rsidRPr="00AC2B46" w:rsidRDefault="00B60700" w:rsidP="58FCB05D">
      <w:pPr>
        <w:spacing w:before="120" w:after="0" w:line="240" w:lineRule="auto"/>
        <w:rPr>
          <w:rFonts w:eastAsiaTheme="majorEastAsia"/>
          <w:color w:val="000000" w:themeColor="text1"/>
          <w:sz w:val="20"/>
          <w:szCs w:val="20"/>
          <w:lang w:val="en-GB"/>
        </w:rPr>
      </w:pPr>
      <w:r w:rsidRPr="58FCB05D">
        <w:rPr>
          <w:rFonts w:eastAsiaTheme="majorEastAsia"/>
          <w:color w:val="000000" w:themeColor="text1"/>
          <w:sz w:val="20"/>
          <w:szCs w:val="20"/>
          <w:vertAlign w:val="superscript"/>
        </w:rPr>
        <w:t>1</w:t>
      </w:r>
      <w:r w:rsidRPr="58FCB05D">
        <w:rPr>
          <w:rFonts w:eastAsiaTheme="majorEastAsia"/>
          <w:color w:val="000000" w:themeColor="text1"/>
          <w:sz w:val="20"/>
          <w:szCs w:val="20"/>
        </w:rPr>
        <w:t xml:space="preserve"> </w:t>
      </w:r>
      <w:r w:rsidR="00836EE5" w:rsidRPr="58FCB05D">
        <w:rPr>
          <w:rFonts w:eastAsiaTheme="majorEastAsia"/>
          <w:color w:val="000000" w:themeColor="text1"/>
          <w:sz w:val="20"/>
          <w:szCs w:val="20"/>
        </w:rPr>
        <w:t xml:space="preserve">Prevention effective use for PrEP differs by method. For oral PrEP </w:t>
      </w:r>
      <w:r w:rsidR="005D3808">
        <w:rPr>
          <w:rFonts w:eastAsiaTheme="majorEastAsia"/>
          <w:color w:val="000000" w:themeColor="text1"/>
          <w:sz w:val="20"/>
          <w:szCs w:val="20"/>
        </w:rPr>
        <w:t>for persons AFAB and AMAB taking GAHT</w:t>
      </w:r>
      <w:r w:rsidR="00836EE5" w:rsidRPr="58FCB05D">
        <w:rPr>
          <w:rFonts w:eastAsiaTheme="majorEastAsia"/>
          <w:color w:val="000000" w:themeColor="text1"/>
          <w:sz w:val="20"/>
          <w:szCs w:val="20"/>
        </w:rPr>
        <w:t>: one dose taken every day in week before and week after each day of sex</w:t>
      </w:r>
      <w:r w:rsidR="005D3808">
        <w:rPr>
          <w:rFonts w:eastAsiaTheme="majorEastAsia"/>
          <w:color w:val="000000" w:themeColor="text1"/>
          <w:sz w:val="20"/>
          <w:szCs w:val="20"/>
        </w:rPr>
        <w:t xml:space="preserve">. </w:t>
      </w:r>
      <w:r w:rsidR="00113DC5">
        <w:rPr>
          <w:rFonts w:eastAsiaTheme="majorEastAsia"/>
          <w:color w:val="000000" w:themeColor="text1"/>
          <w:sz w:val="20"/>
          <w:szCs w:val="20"/>
        </w:rPr>
        <w:t>For o</w:t>
      </w:r>
      <w:r w:rsidR="005D3808">
        <w:rPr>
          <w:rFonts w:eastAsiaTheme="majorEastAsia"/>
          <w:color w:val="000000" w:themeColor="text1"/>
          <w:sz w:val="20"/>
          <w:szCs w:val="20"/>
        </w:rPr>
        <w:t xml:space="preserve">ral PrEP for persons AMAB </w:t>
      </w:r>
      <w:r w:rsidR="00113DC5">
        <w:rPr>
          <w:rFonts w:eastAsiaTheme="majorEastAsia"/>
          <w:color w:val="000000" w:themeColor="text1"/>
          <w:sz w:val="20"/>
          <w:szCs w:val="20"/>
        </w:rPr>
        <w:t>not taking GAHT</w:t>
      </w:r>
      <w:r w:rsidR="00AC2B46">
        <w:rPr>
          <w:rFonts w:eastAsiaTheme="majorEastAsia"/>
          <w:color w:val="000000" w:themeColor="text1"/>
          <w:sz w:val="20"/>
          <w:szCs w:val="20"/>
        </w:rPr>
        <w:t xml:space="preserve">: </w:t>
      </w:r>
      <w:r w:rsidR="00836EE5" w:rsidRPr="58FCB05D">
        <w:rPr>
          <w:rFonts w:eastAsiaTheme="majorEastAsia"/>
          <w:color w:val="000000" w:themeColor="text1"/>
          <w:sz w:val="20"/>
          <w:szCs w:val="20"/>
        </w:rPr>
        <w:t>at least four doses taken in week before each day of sex. For PrEP ring: Ring in place continuously day before and day of sex for each day of vaginal sex. For CAB PrEP: Prior injection was initiation injection 1 and ≤ 5 weeks ago; or prior injection was initiation injection 2 or follow-up injection and ≤ 9 weeks ago.</w:t>
      </w:r>
    </w:p>
    <w:p w14:paraId="7BAE3A5B" w14:textId="6F7396EC" w:rsidR="00B60700" w:rsidRPr="006952DE" w:rsidRDefault="00E42CA0" w:rsidP="00B60700">
      <w:pPr>
        <w:spacing w:before="120" w:after="0" w:line="240" w:lineRule="auto"/>
        <w:rPr>
          <w:rFonts w:eastAsiaTheme="majorEastAsia" w:cstheme="minorHAnsi"/>
          <w:color w:val="000000" w:themeColor="text1"/>
          <w:sz w:val="20"/>
          <w:szCs w:val="20"/>
        </w:rPr>
      </w:pPr>
      <w:r w:rsidRPr="006952DE">
        <w:rPr>
          <w:rFonts w:eastAsiaTheme="majorEastAsia" w:cstheme="minorHAnsi"/>
          <w:color w:val="000000" w:themeColor="text1"/>
          <w:sz w:val="20"/>
          <w:szCs w:val="20"/>
          <w:vertAlign w:val="superscript"/>
        </w:rPr>
        <w:t>2</w:t>
      </w:r>
      <w:r>
        <w:rPr>
          <w:rFonts w:eastAsiaTheme="majorEastAsia" w:cstheme="minorHAnsi"/>
          <w:color w:val="000000" w:themeColor="text1"/>
          <w:sz w:val="20"/>
          <w:szCs w:val="20"/>
          <w:vertAlign w:val="superscript"/>
        </w:rPr>
        <w:t xml:space="preserve"> </w:t>
      </w:r>
      <w:r w:rsidR="000369F3">
        <w:rPr>
          <w:rFonts w:eastAsiaTheme="majorEastAsia" w:cstheme="minorHAnsi"/>
          <w:color w:val="000000" w:themeColor="text1"/>
          <w:sz w:val="20"/>
          <w:szCs w:val="20"/>
        </w:rPr>
        <w:t>Two-thirds</w:t>
      </w:r>
      <w:r w:rsidR="00B60700" w:rsidRPr="006952DE">
        <w:rPr>
          <w:rFonts w:eastAsiaTheme="majorEastAsia" w:cstheme="minorHAnsi"/>
          <w:color w:val="000000" w:themeColor="text1"/>
          <w:sz w:val="20"/>
          <w:szCs w:val="20"/>
        </w:rPr>
        <w:t xml:space="preserve"> of people will have symptoms of AHI within 2</w:t>
      </w:r>
      <w:r w:rsidR="000369F3">
        <w:rPr>
          <w:rFonts w:eastAsiaTheme="majorEastAsia" w:cstheme="minorHAnsi"/>
          <w:color w:val="000000" w:themeColor="text1"/>
          <w:sz w:val="20"/>
          <w:szCs w:val="20"/>
        </w:rPr>
        <w:t>–</w:t>
      </w:r>
      <w:r w:rsidR="00B60700" w:rsidRPr="006952DE">
        <w:rPr>
          <w:rFonts w:eastAsiaTheme="majorEastAsia" w:cstheme="minorHAnsi"/>
          <w:color w:val="000000" w:themeColor="text1"/>
          <w:sz w:val="20"/>
          <w:szCs w:val="20"/>
        </w:rPr>
        <w:t>4 weeks of HIV acquisition (</w:t>
      </w:r>
      <w:hyperlink r:id="rId34" w:history="1">
        <w:r w:rsidR="00B60700" w:rsidRPr="006952DE">
          <w:rPr>
            <w:rStyle w:val="Hyperlink"/>
            <w:rFonts w:eastAsiaTheme="majorEastAsia" w:cstheme="minorHAnsi"/>
            <w:sz w:val="20"/>
            <w:szCs w:val="20"/>
          </w:rPr>
          <w:t>Letizia et al. 2022</w:t>
        </w:r>
      </w:hyperlink>
      <w:r w:rsidR="00B60700" w:rsidRPr="006952DE">
        <w:rPr>
          <w:rFonts w:eastAsiaTheme="majorEastAsia" w:cstheme="minorHAnsi"/>
          <w:color w:val="000000" w:themeColor="text1"/>
          <w:sz w:val="20"/>
          <w:szCs w:val="20"/>
        </w:rPr>
        <w:t xml:space="preserve">). Signs/symptoms mimicking acute HIV infection (sore throat, fever, sweats, swollen glands, mouth ulcers, headache, rash, </w:t>
      </w:r>
      <w:r w:rsidR="000369F3">
        <w:rPr>
          <w:rFonts w:eastAsiaTheme="majorEastAsia" w:cstheme="minorHAnsi"/>
          <w:color w:val="000000" w:themeColor="text1"/>
          <w:sz w:val="20"/>
          <w:szCs w:val="20"/>
        </w:rPr>
        <w:t xml:space="preserve">and </w:t>
      </w:r>
      <w:r w:rsidR="00B60700" w:rsidRPr="006952DE">
        <w:rPr>
          <w:rFonts w:eastAsiaTheme="majorEastAsia" w:cstheme="minorHAnsi"/>
          <w:color w:val="000000" w:themeColor="text1"/>
          <w:sz w:val="20"/>
          <w:szCs w:val="20"/>
        </w:rPr>
        <w:t>muscle aches) are commonly due to illnesses other than HIV; providers need to use discretion in determining whether the symptomatology is consistent with HIV or may be explained by an alternative cause.</w:t>
      </w:r>
    </w:p>
    <w:p w14:paraId="6601C212" w14:textId="48729A51" w:rsidR="00B60700" w:rsidRDefault="00E42CA0" w:rsidP="00B60700">
      <w:pPr>
        <w:spacing w:before="120" w:after="0" w:line="240" w:lineRule="auto"/>
        <w:rPr>
          <w:rFonts w:eastAsiaTheme="majorEastAsia" w:cstheme="minorHAnsi"/>
          <w:color w:val="000000" w:themeColor="text1"/>
          <w:sz w:val="20"/>
          <w:szCs w:val="20"/>
        </w:rPr>
      </w:pPr>
      <w:r>
        <w:rPr>
          <w:rFonts w:eastAsiaTheme="majorEastAsia" w:cstheme="minorHAnsi"/>
          <w:color w:val="000000" w:themeColor="text1"/>
          <w:sz w:val="20"/>
          <w:szCs w:val="20"/>
          <w:vertAlign w:val="superscript"/>
        </w:rPr>
        <w:t xml:space="preserve">3 </w:t>
      </w:r>
      <w:r w:rsidR="00B60700" w:rsidRPr="006952DE">
        <w:rPr>
          <w:rFonts w:eastAsiaTheme="majorEastAsia" w:cstheme="minorHAnsi"/>
          <w:color w:val="000000" w:themeColor="text1"/>
          <w:sz w:val="20"/>
          <w:szCs w:val="20"/>
        </w:rPr>
        <w:t xml:space="preserve">If HIV testing </w:t>
      </w:r>
      <w:r w:rsidR="000369F3">
        <w:rPr>
          <w:rFonts w:eastAsiaTheme="majorEastAsia" w:cstheme="minorHAnsi"/>
          <w:color w:val="000000" w:themeColor="text1"/>
          <w:sz w:val="20"/>
          <w:szCs w:val="20"/>
        </w:rPr>
        <w:t>t</w:t>
      </w:r>
      <w:r w:rsidR="00B60700" w:rsidRPr="006952DE">
        <w:rPr>
          <w:rFonts w:eastAsiaTheme="majorEastAsia" w:cstheme="minorHAnsi"/>
          <w:color w:val="000000" w:themeColor="text1"/>
          <w:sz w:val="20"/>
          <w:szCs w:val="20"/>
        </w:rPr>
        <w:t>h</w:t>
      </w:r>
      <w:r w:rsidR="000369F3">
        <w:rPr>
          <w:rFonts w:eastAsiaTheme="majorEastAsia" w:cstheme="minorHAnsi"/>
          <w:color w:val="000000" w:themeColor="text1"/>
          <w:sz w:val="20"/>
          <w:szCs w:val="20"/>
        </w:rPr>
        <w:t>at</w:t>
      </w:r>
      <w:r w:rsidR="00B60700" w:rsidRPr="006952DE">
        <w:rPr>
          <w:rFonts w:eastAsiaTheme="majorEastAsia" w:cstheme="minorHAnsi"/>
          <w:color w:val="000000" w:themeColor="text1"/>
          <w:sz w:val="20"/>
          <w:szCs w:val="20"/>
        </w:rPr>
        <w:t xml:space="preserve"> can reliably detect HIV given these clients’ potential exposures and time</w:t>
      </w:r>
      <w:r w:rsidR="000369F3">
        <w:rPr>
          <w:rFonts w:eastAsiaTheme="majorEastAsia" w:cstheme="minorHAnsi"/>
          <w:color w:val="000000" w:themeColor="text1"/>
          <w:sz w:val="20"/>
          <w:szCs w:val="20"/>
        </w:rPr>
        <w:t xml:space="preserve"> </w:t>
      </w:r>
      <w:r w:rsidR="00B60700" w:rsidRPr="006952DE">
        <w:rPr>
          <w:rFonts w:eastAsiaTheme="majorEastAsia" w:cstheme="minorHAnsi"/>
          <w:color w:val="000000" w:themeColor="text1"/>
          <w:sz w:val="20"/>
          <w:szCs w:val="20"/>
        </w:rPr>
        <w:t xml:space="preserve">frames is available, PrEP may be started earlier than 28 days if results are nonreactive. </w:t>
      </w:r>
    </w:p>
    <w:p w14:paraId="043DCB7E" w14:textId="6F96E107" w:rsidR="00E440BF" w:rsidRPr="006952DE" w:rsidRDefault="00E42CA0" w:rsidP="00B60700">
      <w:pPr>
        <w:spacing w:before="120" w:after="0" w:line="240" w:lineRule="auto"/>
        <w:rPr>
          <w:rFonts w:eastAsiaTheme="majorEastAsia" w:cstheme="minorHAnsi"/>
          <w:color w:val="000000" w:themeColor="text1"/>
          <w:sz w:val="20"/>
          <w:szCs w:val="20"/>
        </w:rPr>
      </w:pPr>
      <w:r>
        <w:rPr>
          <w:rFonts w:eastAsiaTheme="majorEastAsia" w:cstheme="minorHAnsi"/>
          <w:color w:val="000000" w:themeColor="text1"/>
          <w:sz w:val="20"/>
          <w:szCs w:val="20"/>
          <w:vertAlign w:val="superscript"/>
        </w:rPr>
        <w:lastRenderedPageBreak/>
        <w:t>4</w:t>
      </w:r>
      <w:r w:rsidR="00EC7608" w:rsidRPr="00A858F7">
        <w:rPr>
          <w:rFonts w:eastAsiaTheme="majorEastAsia" w:cstheme="minorHAnsi"/>
          <w:color w:val="000000" w:themeColor="text1"/>
          <w:sz w:val="20"/>
          <w:szCs w:val="20"/>
          <w:vertAlign w:val="superscript"/>
        </w:rPr>
        <w:t xml:space="preserve"> </w:t>
      </w:r>
      <w:r w:rsidR="008F0736" w:rsidRPr="00A858F7">
        <w:rPr>
          <w:rFonts w:eastAsiaTheme="majorEastAsia" w:cstheme="minorHAnsi"/>
          <w:color w:val="000000" w:themeColor="text1"/>
          <w:sz w:val="20"/>
          <w:szCs w:val="20"/>
        </w:rPr>
        <w:t>Suspected AHI is not a contraindication for PrEP ring use.</w:t>
      </w:r>
      <w:r w:rsidR="00385367" w:rsidRPr="00A858F7">
        <w:rPr>
          <w:rFonts w:eastAsiaTheme="majorEastAsia" w:cstheme="minorHAnsi"/>
          <w:color w:val="000000" w:themeColor="text1"/>
          <w:sz w:val="20"/>
          <w:szCs w:val="20"/>
        </w:rPr>
        <w:t xml:space="preserve"> If AHI is suspected, strongly encourage the person to return in 4-6 weeks for re-testing and not wait for 3 </w:t>
      </w:r>
      <w:r w:rsidR="00796CF2" w:rsidRPr="00A858F7">
        <w:rPr>
          <w:rFonts w:eastAsiaTheme="majorEastAsia" w:cstheme="minorHAnsi"/>
          <w:color w:val="000000" w:themeColor="text1"/>
          <w:sz w:val="20"/>
          <w:szCs w:val="20"/>
        </w:rPr>
        <w:t>months.</w:t>
      </w:r>
    </w:p>
    <w:p w14:paraId="6602E81B" w14:textId="7FDB5323" w:rsidR="007408FB" w:rsidRPr="00606B35" w:rsidRDefault="007408FB" w:rsidP="002D288B">
      <w:pPr>
        <w:pStyle w:val="Heading2"/>
        <w:spacing w:before="120" w:after="120" w:line="240" w:lineRule="auto"/>
        <w:rPr>
          <w:rFonts w:asciiTheme="minorHAnsi" w:hAnsiTheme="minorHAnsi" w:cstheme="minorHAnsi"/>
        </w:rPr>
      </w:pPr>
      <w:bookmarkStart w:id="56" w:name="_Toc182989129"/>
      <w:r w:rsidRPr="00606B35">
        <w:rPr>
          <w:rFonts w:asciiTheme="minorHAnsi" w:hAnsiTheme="minorHAnsi" w:cstheme="minorHAnsi"/>
        </w:rPr>
        <w:t>Component 3:</w:t>
      </w:r>
      <w:r w:rsidR="00E9095D" w:rsidRPr="00606B35">
        <w:rPr>
          <w:rFonts w:asciiTheme="minorHAnsi" w:hAnsiTheme="minorHAnsi" w:cstheme="minorHAnsi"/>
        </w:rPr>
        <w:t xml:space="preserve"> </w:t>
      </w:r>
      <w:r w:rsidR="00FF52C0">
        <w:rPr>
          <w:rFonts w:asciiTheme="minorHAnsi" w:hAnsiTheme="minorHAnsi" w:cstheme="minorHAnsi"/>
        </w:rPr>
        <w:t xml:space="preserve">PrEP </w:t>
      </w:r>
      <w:r w:rsidR="00E9095D" w:rsidRPr="00606B35">
        <w:rPr>
          <w:rFonts w:asciiTheme="minorHAnsi" w:hAnsiTheme="minorHAnsi" w:cstheme="minorHAnsi"/>
        </w:rPr>
        <w:t>Counseling</w:t>
      </w:r>
      <w:bookmarkEnd w:id="56"/>
    </w:p>
    <w:p w14:paraId="164F3EAE" w14:textId="61750609" w:rsidR="00A85A87" w:rsidRPr="00606B35" w:rsidRDefault="00246F78" w:rsidP="00DD508F">
      <w:pPr>
        <w:spacing w:after="120" w:line="240" w:lineRule="auto"/>
        <w:rPr>
          <w:rFonts w:cstheme="minorHAnsi"/>
        </w:rPr>
      </w:pPr>
      <w:r w:rsidRPr="00606B35">
        <w:rPr>
          <w:rFonts w:cstheme="minorHAnsi"/>
        </w:rPr>
        <w:t xml:space="preserve">In addition to </w:t>
      </w:r>
      <w:r w:rsidR="00DB6691">
        <w:rPr>
          <w:rFonts w:cstheme="minorHAnsi"/>
        </w:rPr>
        <w:t xml:space="preserve">re-enforcing any of </w:t>
      </w:r>
      <w:r w:rsidRPr="00606B35">
        <w:rPr>
          <w:rFonts w:cstheme="minorHAnsi"/>
        </w:rPr>
        <w:t>the key messages and counseling topics discussed at initiation</w:t>
      </w:r>
      <w:r w:rsidR="00DB6691">
        <w:rPr>
          <w:rFonts w:cstheme="minorHAnsi"/>
        </w:rPr>
        <w:t>, as needed,</w:t>
      </w:r>
      <w:r w:rsidR="00D729EF" w:rsidRPr="00606B35">
        <w:rPr>
          <w:rFonts w:cstheme="minorHAnsi"/>
        </w:rPr>
        <w:t xml:space="preserve"> (see </w:t>
      </w:r>
      <w:r w:rsidR="00D729EF" w:rsidRPr="00606B35">
        <w:rPr>
          <w:rFonts w:cstheme="minorHAnsi"/>
          <w:i/>
          <w:iCs/>
        </w:rPr>
        <w:t xml:space="preserve">Table </w:t>
      </w:r>
      <w:r w:rsidR="00E83091">
        <w:rPr>
          <w:rFonts w:cstheme="minorHAnsi"/>
          <w:i/>
          <w:iCs/>
        </w:rPr>
        <w:t>3</w:t>
      </w:r>
      <w:r w:rsidR="00E83091" w:rsidRPr="00606B35">
        <w:rPr>
          <w:rFonts w:cstheme="minorHAnsi"/>
        </w:rPr>
        <w:t xml:space="preserve"> </w:t>
      </w:r>
      <w:r w:rsidR="00801B2A" w:rsidRPr="00606B35">
        <w:rPr>
          <w:rFonts w:cstheme="minorHAnsi"/>
        </w:rPr>
        <w:t xml:space="preserve">in </w:t>
      </w:r>
      <w:r w:rsidR="00801B2A" w:rsidRPr="00606B35">
        <w:rPr>
          <w:rFonts w:cstheme="minorHAnsi"/>
          <w:i/>
          <w:iCs/>
        </w:rPr>
        <w:t>Annex</w:t>
      </w:r>
      <w:r w:rsidR="00D729EF" w:rsidRPr="00606B35">
        <w:rPr>
          <w:rFonts w:cstheme="minorHAnsi"/>
        </w:rPr>
        <w:t>)</w:t>
      </w:r>
      <w:r w:rsidR="001967F2" w:rsidRPr="00606B35">
        <w:rPr>
          <w:rFonts w:cstheme="minorHAnsi"/>
        </w:rPr>
        <w:t xml:space="preserve">, </w:t>
      </w:r>
      <w:r w:rsidR="001E2A51" w:rsidRPr="00606B35">
        <w:rPr>
          <w:rFonts w:cstheme="minorHAnsi"/>
        </w:rPr>
        <w:t>providers should discuss</w:t>
      </w:r>
      <w:r w:rsidR="000D2FAF" w:rsidRPr="00606B35">
        <w:rPr>
          <w:rFonts w:cstheme="minorHAnsi"/>
        </w:rPr>
        <w:t>:</w:t>
      </w:r>
      <w:r w:rsidR="001E2A51" w:rsidRPr="00606B35">
        <w:rPr>
          <w:rFonts w:cstheme="minorHAnsi"/>
        </w:rPr>
        <w:t xml:space="preserve"> </w:t>
      </w:r>
    </w:p>
    <w:p w14:paraId="28FD9E32" w14:textId="51244C41" w:rsidR="00A85A87" w:rsidRPr="00606B35" w:rsidRDefault="002B3D5C" w:rsidP="71945BB9">
      <w:pPr>
        <w:pStyle w:val="ListParagraph"/>
        <w:numPr>
          <w:ilvl w:val="0"/>
          <w:numId w:val="16"/>
        </w:numPr>
        <w:spacing w:after="120" w:line="240" w:lineRule="auto"/>
      </w:pPr>
      <w:r>
        <w:t>A</w:t>
      </w:r>
      <w:r w:rsidR="001E2A51" w:rsidRPr="71945BB9">
        <w:t>ny side effects</w:t>
      </w:r>
      <w:r w:rsidR="00C74CBE" w:rsidRPr="71945BB9">
        <w:t xml:space="preserve"> or adverse drug reactions</w:t>
      </w:r>
      <w:r w:rsidR="001E2A51" w:rsidRPr="71945BB9">
        <w:t xml:space="preserve"> the client has experienced </w:t>
      </w:r>
      <w:r w:rsidR="00976892">
        <w:t>(</w:t>
      </w:r>
      <w:r w:rsidR="001E2A51" w:rsidRPr="71945BB9">
        <w:t xml:space="preserve">and </w:t>
      </w:r>
      <w:bookmarkStart w:id="57" w:name="_Int_MyyS0SWp"/>
      <w:r w:rsidR="001E2A51" w:rsidRPr="71945BB9">
        <w:t>manage</w:t>
      </w:r>
      <w:bookmarkEnd w:id="57"/>
      <w:r w:rsidR="001E2A51" w:rsidRPr="71945BB9">
        <w:t xml:space="preserve"> them as </w:t>
      </w:r>
      <w:proofErr w:type="gramStart"/>
      <w:r w:rsidR="001E2A51" w:rsidRPr="71945BB9">
        <w:t>needed</w:t>
      </w:r>
      <w:r w:rsidR="00C74CBE" w:rsidRPr="71945BB9">
        <w:t xml:space="preserve"> </w:t>
      </w:r>
      <w:r w:rsidR="00976892">
        <w:t xml:space="preserve"> </w:t>
      </w:r>
      <w:r w:rsidR="00976892">
        <w:rPr>
          <w:rFonts w:cstheme="minorHAnsi"/>
        </w:rPr>
        <w:t>—</w:t>
      </w:r>
      <w:proofErr w:type="gramEnd"/>
      <w:r w:rsidR="00976892">
        <w:t xml:space="preserve"> </w:t>
      </w:r>
      <w:r w:rsidR="00C74CBE" w:rsidRPr="006F0751">
        <w:rPr>
          <w:i/>
          <w:iCs/>
        </w:rPr>
        <w:t>see</w:t>
      </w:r>
      <w:r w:rsidR="00C74CBE" w:rsidRPr="71945BB9">
        <w:rPr>
          <w:i/>
        </w:rPr>
        <w:t xml:space="preserve"> Management of Side Effects and Adverse Drug Reactions</w:t>
      </w:r>
      <w:r w:rsidR="00631DA6" w:rsidRPr="71945BB9">
        <w:rPr>
          <w:i/>
        </w:rPr>
        <w:t xml:space="preserve"> </w:t>
      </w:r>
      <w:r w:rsidR="00631DA6" w:rsidRPr="71945BB9">
        <w:t>below</w:t>
      </w:r>
      <w:r w:rsidR="007D2D1A" w:rsidRPr="71945BB9">
        <w:t>)</w:t>
      </w:r>
    </w:p>
    <w:p w14:paraId="13017FC3" w14:textId="788E4282" w:rsidR="00246F78" w:rsidRPr="00606B35" w:rsidRDefault="00976892" w:rsidP="0294A27B">
      <w:pPr>
        <w:pStyle w:val="ListParagraph"/>
        <w:numPr>
          <w:ilvl w:val="0"/>
          <w:numId w:val="16"/>
        </w:numPr>
        <w:spacing w:after="120" w:line="240" w:lineRule="auto"/>
      </w:pPr>
      <w:r>
        <w:t>I</w:t>
      </w:r>
      <w:r w:rsidR="00BB70FA" w:rsidRPr="0294A27B">
        <w:t xml:space="preserve">f there is ongoing </w:t>
      </w:r>
      <w:r w:rsidR="00246F78" w:rsidRPr="0294A27B">
        <w:t>exposure to HIV and whether the</w:t>
      </w:r>
      <w:r w:rsidR="009850B0" w:rsidRPr="0294A27B">
        <w:t xml:space="preserve"> client</w:t>
      </w:r>
      <w:r w:rsidR="00246F78" w:rsidRPr="0294A27B">
        <w:t xml:space="preserve"> feel</w:t>
      </w:r>
      <w:r w:rsidR="009850B0" w:rsidRPr="0294A27B">
        <w:t>s</w:t>
      </w:r>
      <w:r w:rsidR="00246F78" w:rsidRPr="0294A27B">
        <w:t xml:space="preserve"> continued PrEP use is necessary</w:t>
      </w:r>
    </w:p>
    <w:p w14:paraId="2C0FBFAD" w14:textId="6342C302" w:rsidR="007408FB" w:rsidRPr="00606B35" w:rsidRDefault="007408FB" w:rsidP="00DD508F">
      <w:pPr>
        <w:pStyle w:val="Heading2"/>
        <w:spacing w:before="0" w:after="120" w:line="240" w:lineRule="auto"/>
        <w:rPr>
          <w:rFonts w:asciiTheme="minorHAnsi" w:hAnsiTheme="minorHAnsi" w:cstheme="minorBidi"/>
        </w:rPr>
      </w:pPr>
      <w:bookmarkStart w:id="58" w:name="_Toc182989130"/>
      <w:r w:rsidRPr="5163B5CD">
        <w:rPr>
          <w:rFonts w:asciiTheme="minorHAnsi" w:hAnsiTheme="minorHAnsi" w:cstheme="minorBidi"/>
        </w:rPr>
        <w:t>Component 4:</w:t>
      </w:r>
      <w:r w:rsidR="00E9095D" w:rsidRPr="5163B5CD">
        <w:rPr>
          <w:rFonts w:asciiTheme="minorHAnsi" w:hAnsiTheme="minorHAnsi" w:cstheme="minorBidi"/>
        </w:rPr>
        <w:t xml:space="preserve"> PrEP Prescription Refill</w:t>
      </w:r>
      <w:bookmarkEnd w:id="58"/>
    </w:p>
    <w:p w14:paraId="46086E17" w14:textId="553054C4" w:rsidR="00395A7B" w:rsidRPr="00606B35" w:rsidRDefault="0F00E838" w:rsidP="18373E04">
      <w:pPr>
        <w:pBdr>
          <w:top w:val="nil"/>
          <w:left w:val="nil"/>
          <w:bottom w:val="nil"/>
          <w:right w:val="nil"/>
          <w:between w:val="nil"/>
        </w:pBdr>
        <w:spacing w:after="120" w:line="240" w:lineRule="auto"/>
        <w:rPr>
          <w:color w:val="000000"/>
        </w:rPr>
      </w:pPr>
      <w:r w:rsidRPr="18373E04">
        <w:rPr>
          <w:color w:val="000000" w:themeColor="text1"/>
        </w:rPr>
        <w:t>Clients who are</w:t>
      </w:r>
      <w:r w:rsidR="00C83CD4" w:rsidRPr="18373E04">
        <w:rPr>
          <w:color w:val="000000" w:themeColor="text1"/>
        </w:rPr>
        <w:t xml:space="preserve"> using oral PrEP or the </w:t>
      </w:r>
      <w:r w:rsidRPr="18373E04">
        <w:rPr>
          <w:color w:val="000000" w:themeColor="text1"/>
        </w:rPr>
        <w:t xml:space="preserve">PrEP </w:t>
      </w:r>
      <w:r w:rsidR="00C83CD4" w:rsidRPr="18373E04">
        <w:rPr>
          <w:color w:val="000000" w:themeColor="text1"/>
        </w:rPr>
        <w:t>ring</w:t>
      </w:r>
      <w:r w:rsidRPr="18373E04">
        <w:rPr>
          <w:color w:val="000000" w:themeColor="text1"/>
        </w:rPr>
        <w:t xml:space="preserve"> could be prescribed multiple bottles/rings, enough so they</w:t>
      </w:r>
      <w:r w:rsidR="5B9DBD29" w:rsidRPr="18373E04">
        <w:rPr>
          <w:color w:val="000000" w:themeColor="text1"/>
        </w:rPr>
        <w:t xml:space="preserve"> don’t need to return for a refill until their next</w:t>
      </w:r>
      <w:r w:rsidR="005C3A15" w:rsidRPr="18373E04">
        <w:rPr>
          <w:color w:val="000000" w:themeColor="text1"/>
        </w:rPr>
        <w:t xml:space="preserve"> follow-up </w:t>
      </w:r>
      <w:r w:rsidR="5B9DBD29" w:rsidRPr="18373E04">
        <w:rPr>
          <w:color w:val="000000" w:themeColor="text1"/>
        </w:rPr>
        <w:t xml:space="preserve">appointment. Some </w:t>
      </w:r>
      <w:r w:rsidR="5A1AEFFF" w:rsidRPr="18373E04">
        <w:rPr>
          <w:color w:val="000000" w:themeColor="text1"/>
        </w:rPr>
        <w:t>clients, however,</w:t>
      </w:r>
      <w:r w:rsidR="5B9DBD29" w:rsidRPr="18373E04">
        <w:rPr>
          <w:color w:val="000000" w:themeColor="text1"/>
        </w:rPr>
        <w:t xml:space="preserve"> may not prefer </w:t>
      </w:r>
      <w:r w:rsidR="08A9974E" w:rsidRPr="18373E04">
        <w:rPr>
          <w:color w:val="000000" w:themeColor="text1"/>
        </w:rPr>
        <w:t>multi</w:t>
      </w:r>
      <w:r w:rsidR="6CDE77D5" w:rsidRPr="18373E04">
        <w:rPr>
          <w:color w:val="000000" w:themeColor="text1"/>
        </w:rPr>
        <w:t>-</w:t>
      </w:r>
      <w:r w:rsidR="08A9974E" w:rsidRPr="18373E04">
        <w:rPr>
          <w:color w:val="000000" w:themeColor="text1"/>
        </w:rPr>
        <w:t>month</w:t>
      </w:r>
      <w:r w:rsidR="5B9DBD29" w:rsidRPr="18373E04">
        <w:rPr>
          <w:color w:val="000000" w:themeColor="text1"/>
        </w:rPr>
        <w:t xml:space="preserve"> dispensing due to challenges with storage</w:t>
      </w:r>
      <w:r w:rsidR="00673073" w:rsidRPr="18373E04">
        <w:rPr>
          <w:color w:val="000000" w:themeColor="text1"/>
        </w:rPr>
        <w:t>,</w:t>
      </w:r>
      <w:r w:rsidR="5B9DBD29" w:rsidRPr="18373E04">
        <w:rPr>
          <w:color w:val="000000" w:themeColor="text1"/>
        </w:rPr>
        <w:t xml:space="preserve"> so </w:t>
      </w:r>
      <w:r w:rsidR="08A9974E" w:rsidRPr="18373E04">
        <w:rPr>
          <w:color w:val="000000" w:themeColor="text1"/>
        </w:rPr>
        <w:t>provider</w:t>
      </w:r>
      <w:r w:rsidR="0A20B6C5" w:rsidRPr="18373E04">
        <w:rPr>
          <w:color w:val="000000" w:themeColor="text1"/>
        </w:rPr>
        <w:t>s</w:t>
      </w:r>
      <w:r w:rsidR="007408FB" w:rsidRPr="18373E04">
        <w:rPr>
          <w:color w:val="000000" w:themeColor="text1"/>
        </w:rPr>
        <w:t xml:space="preserve"> should </w:t>
      </w:r>
      <w:r w:rsidR="5B9DBD29" w:rsidRPr="18373E04">
        <w:rPr>
          <w:color w:val="000000" w:themeColor="text1"/>
        </w:rPr>
        <w:t>have conversation</w:t>
      </w:r>
      <w:r w:rsidR="00673073" w:rsidRPr="18373E04">
        <w:rPr>
          <w:color w:val="000000" w:themeColor="text1"/>
        </w:rPr>
        <w:t>s</w:t>
      </w:r>
      <w:r w:rsidR="5B9DBD29" w:rsidRPr="18373E04">
        <w:rPr>
          <w:color w:val="000000" w:themeColor="text1"/>
        </w:rPr>
        <w:t xml:space="preserve"> with </w:t>
      </w:r>
      <w:r w:rsidR="00673073" w:rsidRPr="18373E04">
        <w:rPr>
          <w:color w:val="000000" w:themeColor="text1"/>
        </w:rPr>
        <w:t xml:space="preserve">their </w:t>
      </w:r>
      <w:r w:rsidR="5B9DBD29" w:rsidRPr="18373E04">
        <w:rPr>
          <w:color w:val="000000" w:themeColor="text1"/>
        </w:rPr>
        <w:t xml:space="preserve">clients and come </w:t>
      </w:r>
      <w:r w:rsidR="00BB5BA3" w:rsidRPr="18373E04">
        <w:rPr>
          <w:color w:val="000000" w:themeColor="text1"/>
        </w:rPr>
        <w:t xml:space="preserve">to </w:t>
      </w:r>
      <w:r w:rsidR="5B9DBD29" w:rsidRPr="18373E04">
        <w:rPr>
          <w:color w:val="000000" w:themeColor="text1"/>
        </w:rPr>
        <w:t>agreeme</w:t>
      </w:r>
      <w:r w:rsidR="686AE9F1" w:rsidRPr="18373E04">
        <w:rPr>
          <w:color w:val="000000" w:themeColor="text1"/>
        </w:rPr>
        <w:t xml:space="preserve">nt </w:t>
      </w:r>
      <w:r w:rsidRPr="18373E04">
        <w:rPr>
          <w:color w:val="000000" w:themeColor="text1"/>
        </w:rPr>
        <w:t xml:space="preserve">based on client </w:t>
      </w:r>
      <w:r w:rsidR="4AC2EBAE" w:rsidRPr="18373E04">
        <w:rPr>
          <w:color w:val="000000" w:themeColor="text1"/>
        </w:rPr>
        <w:t>needs</w:t>
      </w:r>
      <w:r w:rsidRPr="18373E04">
        <w:rPr>
          <w:color w:val="000000" w:themeColor="text1"/>
        </w:rPr>
        <w:t xml:space="preserve"> and preferences</w:t>
      </w:r>
      <w:r w:rsidR="00D65CBB" w:rsidRPr="18373E04">
        <w:rPr>
          <w:color w:val="000000" w:themeColor="text1"/>
        </w:rPr>
        <w:t>.</w:t>
      </w:r>
      <w:r w:rsidR="00BB5BA3" w:rsidRPr="18373E04">
        <w:rPr>
          <w:color w:val="000000" w:themeColor="text1"/>
        </w:rPr>
        <w:t xml:space="preserve"> </w:t>
      </w:r>
      <w:r w:rsidR="00E734DA" w:rsidRPr="18373E04">
        <w:rPr>
          <w:color w:val="000000" w:themeColor="text1"/>
        </w:rPr>
        <w:t xml:space="preserve">Clients who have some medication supply in reserve tend to show better </w:t>
      </w:r>
      <w:r w:rsidR="005C428D" w:rsidRPr="18373E04">
        <w:rPr>
          <w:color w:val="000000" w:themeColor="text1"/>
        </w:rPr>
        <w:t>effective use</w:t>
      </w:r>
      <w:r w:rsidR="00E734DA" w:rsidRPr="18373E04">
        <w:rPr>
          <w:color w:val="000000" w:themeColor="text1"/>
        </w:rPr>
        <w:t xml:space="preserve">. </w:t>
      </w:r>
      <w:r w:rsidR="00347CD6" w:rsidRPr="18373E04">
        <w:rPr>
          <w:color w:val="000000" w:themeColor="text1"/>
        </w:rPr>
        <w:t xml:space="preserve">In some </w:t>
      </w:r>
      <w:r w:rsidR="00402ED8" w:rsidRPr="18373E04">
        <w:rPr>
          <w:color w:val="000000" w:themeColor="text1"/>
        </w:rPr>
        <w:t>situations, and based on client needs and preferences,</w:t>
      </w:r>
      <w:r w:rsidR="00347CD6" w:rsidRPr="18373E04">
        <w:rPr>
          <w:color w:val="000000" w:themeColor="text1"/>
        </w:rPr>
        <w:t xml:space="preserve"> it may be appropriate to separate follow-up visits from PrEP refills</w:t>
      </w:r>
      <w:r w:rsidR="00402ED8" w:rsidRPr="18373E04">
        <w:rPr>
          <w:color w:val="000000" w:themeColor="text1"/>
        </w:rPr>
        <w:t>.</w:t>
      </w:r>
      <w:r w:rsidR="00347402" w:rsidRPr="18373E04">
        <w:rPr>
          <w:color w:val="000000" w:themeColor="text1"/>
        </w:rPr>
        <w:t xml:space="preserve"> </w:t>
      </w:r>
    </w:p>
    <w:p w14:paraId="5445013E" w14:textId="65857298" w:rsidR="005C3A15" w:rsidRPr="00606B35" w:rsidRDefault="00FC0132" w:rsidP="00DD508F">
      <w:pPr>
        <w:pBdr>
          <w:top w:val="nil"/>
          <w:left w:val="nil"/>
          <w:bottom w:val="nil"/>
          <w:right w:val="nil"/>
          <w:between w:val="nil"/>
        </w:pBdr>
        <w:spacing w:after="120" w:line="240" w:lineRule="auto"/>
        <w:rPr>
          <w:color w:val="000000"/>
        </w:rPr>
      </w:pPr>
      <w:r w:rsidRPr="5163B5CD">
        <w:rPr>
          <w:color w:val="000000" w:themeColor="text1"/>
        </w:rPr>
        <w:t xml:space="preserve">For </w:t>
      </w:r>
      <w:r w:rsidR="008F211D">
        <w:rPr>
          <w:color w:val="000000" w:themeColor="text1"/>
        </w:rPr>
        <w:t>clients AMAB who may use oral PrEP</w:t>
      </w:r>
      <w:r w:rsidRPr="5163B5CD">
        <w:rPr>
          <w:color w:val="000000" w:themeColor="text1"/>
        </w:rPr>
        <w:t xml:space="preserve">, </w:t>
      </w:r>
      <w:r w:rsidR="00E734DA" w:rsidRPr="5163B5CD">
        <w:rPr>
          <w:color w:val="000000" w:themeColor="text1"/>
        </w:rPr>
        <w:t xml:space="preserve">a </w:t>
      </w:r>
      <w:r w:rsidR="00395A7B" w:rsidRPr="5163B5CD">
        <w:rPr>
          <w:color w:val="000000" w:themeColor="text1"/>
        </w:rPr>
        <w:t>full refill may not be needed at each follow-up visit</w:t>
      </w:r>
      <w:r w:rsidR="008F211D">
        <w:rPr>
          <w:color w:val="000000" w:themeColor="text1"/>
        </w:rPr>
        <w:t xml:space="preserve"> depending on their chosen dosing regimen</w:t>
      </w:r>
      <w:r w:rsidR="00395A7B" w:rsidRPr="5163B5CD">
        <w:rPr>
          <w:color w:val="000000" w:themeColor="text1"/>
        </w:rPr>
        <w:t xml:space="preserve">. </w:t>
      </w:r>
      <w:bookmarkStart w:id="59" w:name="_Int_q9J6crVl"/>
      <w:r w:rsidR="00395A7B" w:rsidRPr="5163B5CD">
        <w:rPr>
          <w:color w:val="000000" w:themeColor="text1"/>
        </w:rPr>
        <w:t>At</w:t>
      </w:r>
      <w:bookmarkEnd w:id="59"/>
      <w:r w:rsidR="00395A7B" w:rsidRPr="5163B5CD">
        <w:rPr>
          <w:color w:val="000000" w:themeColor="text1"/>
        </w:rPr>
        <w:t xml:space="preserve"> each visit, </w:t>
      </w:r>
      <w:r w:rsidRPr="5163B5CD">
        <w:rPr>
          <w:color w:val="000000" w:themeColor="text1"/>
        </w:rPr>
        <w:t>ask the</w:t>
      </w:r>
      <w:r w:rsidR="00395A7B" w:rsidRPr="5163B5CD">
        <w:rPr>
          <w:color w:val="000000" w:themeColor="text1"/>
        </w:rPr>
        <w:t>se</w:t>
      </w:r>
      <w:r w:rsidRPr="5163B5CD">
        <w:rPr>
          <w:color w:val="000000" w:themeColor="text1"/>
        </w:rPr>
        <w:t xml:space="preserve"> client</w:t>
      </w:r>
      <w:r w:rsidR="00395A7B" w:rsidRPr="5163B5CD">
        <w:rPr>
          <w:color w:val="000000" w:themeColor="text1"/>
        </w:rPr>
        <w:t>s</w:t>
      </w:r>
      <w:r w:rsidRPr="5163B5CD">
        <w:rPr>
          <w:color w:val="000000" w:themeColor="text1"/>
        </w:rPr>
        <w:t xml:space="preserve"> how many </w:t>
      </w:r>
      <w:r w:rsidR="00F7119F" w:rsidRPr="5163B5CD">
        <w:rPr>
          <w:color w:val="000000" w:themeColor="text1"/>
        </w:rPr>
        <w:t xml:space="preserve">full </w:t>
      </w:r>
      <w:r w:rsidRPr="5163B5CD">
        <w:rPr>
          <w:color w:val="000000" w:themeColor="text1"/>
        </w:rPr>
        <w:t xml:space="preserve">bottles </w:t>
      </w:r>
      <w:r w:rsidR="00F7119F" w:rsidRPr="5163B5CD">
        <w:rPr>
          <w:color w:val="000000" w:themeColor="text1"/>
        </w:rPr>
        <w:t xml:space="preserve">of oral PrEP </w:t>
      </w:r>
      <w:r w:rsidRPr="5163B5CD">
        <w:rPr>
          <w:color w:val="000000" w:themeColor="text1"/>
        </w:rPr>
        <w:t xml:space="preserve">they have </w:t>
      </w:r>
      <w:r w:rsidR="00F7119F" w:rsidRPr="5163B5CD">
        <w:rPr>
          <w:color w:val="000000" w:themeColor="text1"/>
        </w:rPr>
        <w:t>and provide enough bottles so that they</w:t>
      </w:r>
      <w:r w:rsidR="0088215A" w:rsidRPr="5163B5CD">
        <w:rPr>
          <w:color w:val="000000" w:themeColor="text1"/>
        </w:rPr>
        <w:t xml:space="preserve"> can use oral PrEP daily should they need to. Generally, this would mean prescribing them three minus the number of </w:t>
      </w:r>
      <w:r w:rsidR="37BC5155" w:rsidRPr="5163B5CD">
        <w:rPr>
          <w:color w:val="000000" w:themeColor="text1"/>
        </w:rPr>
        <w:t xml:space="preserve">full </w:t>
      </w:r>
      <w:r w:rsidR="0088215A" w:rsidRPr="5163B5CD">
        <w:rPr>
          <w:color w:val="000000" w:themeColor="text1"/>
        </w:rPr>
        <w:t>bottles the client has.</w:t>
      </w:r>
    </w:p>
    <w:p w14:paraId="7CBBE202" w14:textId="5D23CE0F" w:rsidR="00B01449" w:rsidRDefault="00D2585A" w:rsidP="00DD508F">
      <w:pPr>
        <w:pBdr>
          <w:top w:val="nil"/>
          <w:left w:val="nil"/>
          <w:bottom w:val="nil"/>
          <w:right w:val="nil"/>
          <w:between w:val="nil"/>
        </w:pBdr>
        <w:spacing w:after="120" w:line="240" w:lineRule="auto"/>
        <w:rPr>
          <w:color w:val="000000" w:themeColor="text1"/>
        </w:rPr>
      </w:pPr>
      <w:r>
        <w:rPr>
          <w:color w:val="000000" w:themeColor="text1"/>
        </w:rPr>
        <w:t>For clients who are using oral PrEP or the ring, s</w:t>
      </w:r>
      <w:r w:rsidR="74647D89" w:rsidRPr="5163B5CD">
        <w:rPr>
          <w:color w:val="000000" w:themeColor="text1"/>
        </w:rPr>
        <w:t>chedule</w:t>
      </w:r>
      <w:r w:rsidR="00B01449" w:rsidRPr="5163B5CD">
        <w:rPr>
          <w:color w:val="000000" w:themeColor="text1"/>
        </w:rPr>
        <w:t xml:space="preserve"> the client’s next visit </w:t>
      </w:r>
      <w:r w:rsidR="00130460" w:rsidRPr="5163B5CD">
        <w:rPr>
          <w:color w:val="000000" w:themeColor="text1"/>
        </w:rPr>
        <w:t xml:space="preserve">at least </w:t>
      </w:r>
      <w:r w:rsidR="00B01449" w:rsidRPr="5163B5CD">
        <w:rPr>
          <w:color w:val="000000" w:themeColor="text1"/>
        </w:rPr>
        <w:t>a week before the pill supply will run out based on daily use</w:t>
      </w:r>
      <w:r w:rsidR="00DB11D0" w:rsidRPr="5163B5CD">
        <w:rPr>
          <w:color w:val="000000" w:themeColor="text1"/>
        </w:rPr>
        <w:t>,</w:t>
      </w:r>
      <w:r w:rsidR="00CE4211" w:rsidRPr="5163B5CD">
        <w:rPr>
          <w:color w:val="000000" w:themeColor="text1"/>
        </w:rPr>
        <w:t xml:space="preserve"> </w:t>
      </w:r>
      <w:r w:rsidR="00130460" w:rsidRPr="5163B5CD">
        <w:rPr>
          <w:color w:val="000000" w:themeColor="text1"/>
        </w:rPr>
        <w:t>at least</w:t>
      </w:r>
      <w:r w:rsidR="00B01449" w:rsidRPr="5163B5CD">
        <w:rPr>
          <w:color w:val="000000" w:themeColor="text1"/>
        </w:rPr>
        <w:t xml:space="preserve"> a week before the client should change the last ring they have been given, at least every three months</w:t>
      </w:r>
      <w:r>
        <w:rPr>
          <w:color w:val="000000" w:themeColor="text1"/>
        </w:rPr>
        <w:t xml:space="preserve">. For clients using CAB PrEP, schedule the follow-up visit </w:t>
      </w:r>
      <w:r w:rsidR="00E660E5">
        <w:rPr>
          <w:color w:val="000000" w:themeColor="text1"/>
        </w:rPr>
        <w:t>two months</w:t>
      </w:r>
      <w:r w:rsidR="00A624FC">
        <w:rPr>
          <w:color w:val="000000" w:themeColor="text1"/>
        </w:rPr>
        <w:t xml:space="preserve"> after initiation</w:t>
      </w:r>
      <w:r w:rsidR="00B80876">
        <w:rPr>
          <w:color w:val="000000" w:themeColor="text1"/>
        </w:rPr>
        <w:t xml:space="preserve"> injection</w:t>
      </w:r>
      <w:r w:rsidR="00906283">
        <w:rPr>
          <w:color w:val="000000" w:themeColor="text1"/>
        </w:rPr>
        <w:t xml:space="preserve"> </w:t>
      </w:r>
      <w:r w:rsidR="00A624FC">
        <w:rPr>
          <w:color w:val="000000" w:themeColor="text1"/>
        </w:rPr>
        <w:t xml:space="preserve">2 and every </w:t>
      </w:r>
      <w:r w:rsidR="00E660E5">
        <w:rPr>
          <w:color w:val="000000" w:themeColor="text1"/>
        </w:rPr>
        <w:t>two months</w:t>
      </w:r>
      <w:r w:rsidR="00A624FC">
        <w:rPr>
          <w:color w:val="000000" w:themeColor="text1"/>
        </w:rPr>
        <w:t xml:space="preserve"> thereafter.</w:t>
      </w:r>
      <w:r w:rsidR="00B80876">
        <w:rPr>
          <w:color w:val="000000" w:themeColor="text1"/>
        </w:rPr>
        <w:t xml:space="preserve"> </w:t>
      </w:r>
    </w:p>
    <w:p w14:paraId="6C453258" w14:textId="43BC7DE1" w:rsidR="009522F0" w:rsidRPr="00606B35" w:rsidRDefault="009522F0" w:rsidP="00DD508F">
      <w:pPr>
        <w:pBdr>
          <w:top w:val="nil"/>
          <w:left w:val="nil"/>
          <w:bottom w:val="nil"/>
          <w:right w:val="nil"/>
          <w:between w:val="nil"/>
        </w:pBdr>
        <w:spacing w:after="120" w:line="240" w:lineRule="auto"/>
        <w:rPr>
          <w:color w:val="000000"/>
        </w:rPr>
      </w:pPr>
      <w:r w:rsidRPr="5163B5CD">
        <w:rPr>
          <w:color w:val="000000" w:themeColor="text1"/>
        </w:rPr>
        <w:t>When possible, follow-up visits should be coordinated with visits for other services to reduce the number of times a client must return to receive services.</w:t>
      </w:r>
    </w:p>
    <w:p w14:paraId="6017071D" w14:textId="1EDFAB83" w:rsidR="00AD74A6" w:rsidRPr="00606B35" w:rsidRDefault="0073085D" w:rsidP="00DD508F">
      <w:pPr>
        <w:pStyle w:val="Heading2"/>
        <w:spacing w:before="0" w:after="120" w:line="240" w:lineRule="auto"/>
        <w:rPr>
          <w:rFonts w:asciiTheme="minorHAnsi" w:hAnsiTheme="minorHAnsi" w:cstheme="minorBidi"/>
        </w:rPr>
      </w:pPr>
      <w:bookmarkStart w:id="60" w:name="_Toc182989131"/>
      <w:r w:rsidRPr="00606B35">
        <w:rPr>
          <w:rFonts w:asciiTheme="minorHAnsi" w:hAnsiTheme="minorHAnsi" w:cstheme="minorBidi"/>
        </w:rPr>
        <w:t xml:space="preserve">Potential </w:t>
      </w:r>
      <w:r w:rsidR="00AD74A6" w:rsidRPr="00606B35">
        <w:rPr>
          <w:rFonts w:asciiTheme="minorHAnsi" w:hAnsiTheme="minorHAnsi" w:cstheme="minorBidi"/>
        </w:rPr>
        <w:t>Components</w:t>
      </w:r>
      <w:r w:rsidR="00E43BDC" w:rsidRPr="00606B35">
        <w:rPr>
          <w:rFonts w:asciiTheme="minorHAnsi" w:hAnsiTheme="minorHAnsi" w:cstheme="minorBidi"/>
        </w:rPr>
        <w:t xml:space="preserve"> of PrEP Follow-Up Visits</w:t>
      </w:r>
      <w:bookmarkEnd w:id="60"/>
    </w:p>
    <w:p w14:paraId="22B71F2F" w14:textId="043F6979" w:rsidR="00AD74A6" w:rsidRPr="00606B35" w:rsidDel="00586470" w:rsidRDefault="0073085D">
      <w:pPr>
        <w:pBdr>
          <w:top w:val="nil"/>
          <w:left w:val="nil"/>
          <w:bottom w:val="nil"/>
          <w:right w:val="nil"/>
          <w:between w:val="nil"/>
        </w:pBdr>
        <w:spacing w:after="120" w:line="240" w:lineRule="auto"/>
        <w:rPr>
          <w:b/>
          <w:color w:val="000000"/>
        </w:rPr>
      </w:pPr>
      <w:r w:rsidRPr="00606B35">
        <w:rPr>
          <w:color w:val="000000" w:themeColor="text1"/>
        </w:rPr>
        <w:t xml:space="preserve">Potential </w:t>
      </w:r>
      <w:r w:rsidR="00FC2CA5" w:rsidRPr="00606B35">
        <w:rPr>
          <w:color w:val="000000" w:themeColor="text1"/>
        </w:rPr>
        <w:t xml:space="preserve">components of PrEP follow-up visits are the same as </w:t>
      </w:r>
      <w:r w:rsidR="00256C58" w:rsidRPr="00606B35">
        <w:rPr>
          <w:color w:val="000000" w:themeColor="text1"/>
        </w:rPr>
        <w:t xml:space="preserve">the potential components </w:t>
      </w:r>
      <w:r w:rsidR="00FC2CA5" w:rsidRPr="00606B35">
        <w:rPr>
          <w:color w:val="000000" w:themeColor="text1"/>
        </w:rPr>
        <w:t>for initiation visits</w:t>
      </w:r>
      <w:r w:rsidR="009E4A00" w:rsidRPr="00606B35">
        <w:rPr>
          <w:color w:val="000000" w:themeColor="text1"/>
        </w:rPr>
        <w:t xml:space="preserve">. </w:t>
      </w:r>
    </w:p>
    <w:p w14:paraId="035A4C00" w14:textId="7C6903DC" w:rsidR="00E51515" w:rsidRPr="00606B35" w:rsidRDefault="00FA0E4A" w:rsidP="00DD508F">
      <w:pPr>
        <w:pBdr>
          <w:top w:val="nil"/>
          <w:left w:val="nil"/>
          <w:bottom w:val="nil"/>
          <w:right w:val="nil"/>
          <w:between w:val="nil"/>
        </w:pBdr>
        <w:spacing w:after="120" w:line="240" w:lineRule="auto"/>
        <w:rPr>
          <w:color w:val="000000"/>
        </w:rPr>
      </w:pPr>
      <w:r w:rsidRPr="00606B35">
        <w:rPr>
          <w:color w:val="000000" w:themeColor="text1"/>
        </w:rPr>
        <w:t xml:space="preserve">If </w:t>
      </w:r>
      <w:r w:rsidRPr="00606B35">
        <w:t>estimated creatinine clearance is &lt;60 mL/min or the eGFR is &lt;60 mL/min per 1.73m</w:t>
      </w:r>
      <w:r w:rsidRPr="00606B35">
        <w:rPr>
          <w:vertAlign w:val="superscript"/>
        </w:rPr>
        <w:t>2</w:t>
      </w:r>
      <w:r w:rsidR="00C32829" w:rsidRPr="00606B35">
        <w:t>,</w:t>
      </w:r>
      <w:r w:rsidRPr="00606B35">
        <w:t xml:space="preserve"> </w:t>
      </w:r>
      <w:r w:rsidRPr="00606B35">
        <w:rPr>
          <w:color w:val="000000" w:themeColor="text1"/>
        </w:rPr>
        <w:t xml:space="preserve">see </w:t>
      </w:r>
      <w:r w:rsidRPr="00606B35">
        <w:rPr>
          <w:i/>
          <w:color w:val="000000" w:themeColor="text1"/>
        </w:rPr>
        <w:t>Management of Creatinine Elevation</w:t>
      </w:r>
      <w:r w:rsidRPr="00606B35">
        <w:rPr>
          <w:color w:val="000000" w:themeColor="text1"/>
        </w:rPr>
        <w:t xml:space="preserve"> below.</w:t>
      </w:r>
    </w:p>
    <w:p w14:paraId="329DA548" w14:textId="0525D251" w:rsidR="00AE1F62" w:rsidRPr="00606B35" w:rsidRDefault="00AE1F62" w:rsidP="00141C78">
      <w:pPr>
        <w:pStyle w:val="Heading1"/>
        <w:spacing w:after="120" w:line="240" w:lineRule="auto"/>
        <w:rPr>
          <w:rFonts w:asciiTheme="minorHAnsi" w:hAnsiTheme="minorHAnsi" w:cstheme="minorBidi"/>
        </w:rPr>
      </w:pPr>
      <w:bookmarkStart w:id="61" w:name="_Toc80690931"/>
      <w:bookmarkStart w:id="62" w:name="_Toc182989132"/>
      <w:r w:rsidRPr="0294A27B">
        <w:rPr>
          <w:rFonts w:asciiTheme="minorHAnsi" w:hAnsiTheme="minorHAnsi" w:cstheme="minorBidi"/>
        </w:rPr>
        <w:t>Unscheduled PrEP Visits</w:t>
      </w:r>
      <w:bookmarkEnd w:id="62"/>
    </w:p>
    <w:tbl>
      <w:tblPr>
        <w:tblW w:w="0" w:type="auto"/>
        <w:tblLook w:val="04A0" w:firstRow="1" w:lastRow="0" w:firstColumn="1" w:lastColumn="0" w:noHBand="0" w:noVBand="1"/>
      </w:tblPr>
      <w:tblGrid>
        <w:gridCol w:w="10456"/>
      </w:tblGrid>
      <w:tr w:rsidR="0084627C" w:rsidRPr="00606B35" w14:paraId="19B74D19" w14:textId="77777777" w:rsidTr="56D00486">
        <w:tc>
          <w:tcPr>
            <w:tcW w:w="10456" w:type="dxa"/>
            <w:shd w:val="clear" w:color="auto" w:fill="C5E0B3" w:themeFill="accent6" w:themeFillTint="66"/>
          </w:tcPr>
          <w:p w14:paraId="7771F76C" w14:textId="0E99E34B" w:rsidR="0084627C" w:rsidRPr="00606B35" w:rsidRDefault="0470250A" w:rsidP="56D00486">
            <w:pPr>
              <w:pBdr>
                <w:top w:val="nil"/>
                <w:left w:val="nil"/>
                <w:bottom w:val="nil"/>
                <w:right w:val="nil"/>
                <w:between w:val="nil"/>
              </w:pBdr>
              <w:spacing w:after="120"/>
              <w:rPr>
                <w:color w:val="000000"/>
              </w:rPr>
            </w:pPr>
            <w:r w:rsidRPr="56D00486">
              <w:rPr>
                <w:b/>
                <w:bCs/>
              </w:rPr>
              <w:t>For consideration:</w:t>
            </w:r>
            <w:r w:rsidRPr="56D00486">
              <w:t xml:space="preserve"> </w:t>
            </w:r>
            <w:r w:rsidR="643C2A77" w:rsidRPr="692ECD3D">
              <w:rPr>
                <w:color w:val="000000" w:themeColor="text1"/>
              </w:rPr>
              <w:t xml:space="preserve"> </w:t>
            </w:r>
            <w:r w:rsidR="7FC39CD5" w:rsidRPr="692ECD3D">
              <w:rPr>
                <w:color w:val="000000" w:themeColor="text1"/>
              </w:rPr>
              <w:t>P</w:t>
            </w:r>
            <w:r w:rsidR="643C2A77" w:rsidRPr="692ECD3D">
              <w:rPr>
                <w:color w:val="000000" w:themeColor="text1"/>
              </w:rPr>
              <w:t xml:space="preserve">rocedures </w:t>
            </w:r>
            <w:r w:rsidR="40349F01" w:rsidRPr="692ECD3D">
              <w:rPr>
                <w:color w:val="000000" w:themeColor="text1"/>
              </w:rPr>
              <w:t xml:space="preserve">for unscheduled </w:t>
            </w:r>
            <w:r w:rsidR="40349F01" w:rsidRPr="16D0389B">
              <w:rPr>
                <w:color w:val="000000" w:themeColor="text1"/>
              </w:rPr>
              <w:t xml:space="preserve">visits </w:t>
            </w:r>
            <w:r w:rsidR="643C2A77" w:rsidRPr="16D0389B">
              <w:rPr>
                <w:color w:val="000000" w:themeColor="text1"/>
              </w:rPr>
              <w:t>might</w:t>
            </w:r>
            <w:r w:rsidR="643C2A77" w:rsidRPr="692ECD3D">
              <w:rPr>
                <w:color w:val="000000" w:themeColor="text1"/>
              </w:rPr>
              <w:t xml:space="preserve"> include: </w:t>
            </w:r>
          </w:p>
          <w:p w14:paraId="2430EDE7" w14:textId="77777777" w:rsidR="0084627C" w:rsidRPr="00606B35" w:rsidRDefault="0084627C" w:rsidP="0294A27B">
            <w:pPr>
              <w:pStyle w:val="ListParagraph"/>
              <w:numPr>
                <w:ilvl w:val="0"/>
                <w:numId w:val="17"/>
              </w:numPr>
              <w:pBdr>
                <w:top w:val="nil"/>
                <w:left w:val="nil"/>
                <w:bottom w:val="nil"/>
                <w:right w:val="nil"/>
                <w:between w:val="nil"/>
              </w:pBdr>
              <w:spacing w:after="120"/>
              <w:rPr>
                <w:color w:val="000000"/>
              </w:rPr>
            </w:pPr>
            <w:r w:rsidRPr="0294A27B">
              <w:rPr>
                <w:color w:val="000000" w:themeColor="text1"/>
              </w:rPr>
              <w:t>Determining if the reason for the visit is PrEP-related or not, e.g., adverse drug reactions</w:t>
            </w:r>
          </w:p>
          <w:p w14:paraId="36BD738C" w14:textId="2A2658EB" w:rsidR="0084627C" w:rsidRPr="00606B35" w:rsidRDefault="0084627C"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rPr>
            </w:pPr>
            <w:r w:rsidRPr="00606B35">
              <w:rPr>
                <w:rFonts w:cstheme="minorHAnsi"/>
                <w:color w:val="000000"/>
              </w:rPr>
              <w:t>Assessing and manag</w:t>
            </w:r>
            <w:r w:rsidR="00E35CF2" w:rsidRPr="00606B35">
              <w:rPr>
                <w:rFonts w:cstheme="minorHAnsi"/>
                <w:color w:val="000000"/>
              </w:rPr>
              <w:t>ing</w:t>
            </w:r>
            <w:r w:rsidRPr="00606B35">
              <w:rPr>
                <w:rFonts w:cstheme="minorHAnsi"/>
                <w:color w:val="000000"/>
              </w:rPr>
              <w:t xml:space="preserve"> the reason for the unscheduled visit according to national guidelines, e.g., acute or chronic illness, </w:t>
            </w:r>
            <w:r w:rsidR="003A3844">
              <w:rPr>
                <w:rFonts w:cstheme="minorHAnsi"/>
                <w:color w:val="000000"/>
              </w:rPr>
              <w:t>exposure to HIV while not using PrEP effectively</w:t>
            </w:r>
            <w:r w:rsidR="004A4A53">
              <w:rPr>
                <w:rFonts w:cstheme="minorHAnsi"/>
                <w:color w:val="000000"/>
              </w:rPr>
              <w:t xml:space="preserve">, </w:t>
            </w:r>
            <w:r w:rsidRPr="00606B35">
              <w:rPr>
                <w:rFonts w:cstheme="minorHAnsi"/>
                <w:color w:val="000000"/>
              </w:rPr>
              <w:t>worsening existing condition(s)</w:t>
            </w:r>
          </w:p>
          <w:p w14:paraId="18C89149" w14:textId="0807AB74" w:rsidR="0084627C" w:rsidRPr="00606B35" w:rsidRDefault="0084627C" w:rsidP="0294A27B">
            <w:pPr>
              <w:pStyle w:val="ListParagraph"/>
              <w:numPr>
                <w:ilvl w:val="0"/>
                <w:numId w:val="17"/>
              </w:numPr>
              <w:pBdr>
                <w:top w:val="nil"/>
                <w:left w:val="nil"/>
                <w:bottom w:val="nil"/>
                <w:right w:val="nil"/>
                <w:between w:val="nil"/>
              </w:pBdr>
              <w:spacing w:after="120"/>
              <w:rPr>
                <w:color w:val="000000"/>
              </w:rPr>
            </w:pPr>
            <w:r w:rsidRPr="0294A27B">
              <w:rPr>
                <w:color w:val="000000" w:themeColor="text1"/>
              </w:rPr>
              <w:t xml:space="preserve">Providing HIV exposure reduction and PrEP </w:t>
            </w:r>
            <w:r w:rsidR="005C428D" w:rsidRPr="0294A27B">
              <w:rPr>
                <w:color w:val="000000" w:themeColor="text1"/>
              </w:rPr>
              <w:t xml:space="preserve">effective use </w:t>
            </w:r>
            <w:r w:rsidRPr="0294A27B">
              <w:rPr>
                <w:color w:val="000000" w:themeColor="text1"/>
              </w:rPr>
              <w:t>counseling</w:t>
            </w:r>
          </w:p>
          <w:p w14:paraId="48986714" w14:textId="2293F25F" w:rsidR="0084627C" w:rsidRPr="00606B35" w:rsidRDefault="0084627C" w:rsidP="00391C93">
            <w:pPr>
              <w:pStyle w:val="ListParagraph"/>
              <w:numPr>
                <w:ilvl w:val="0"/>
                <w:numId w:val="17"/>
              </w:numPr>
              <w:pBdr>
                <w:top w:val="nil"/>
                <w:left w:val="nil"/>
                <w:bottom w:val="nil"/>
                <w:right w:val="nil"/>
                <w:between w:val="nil"/>
              </w:pBdr>
              <w:spacing w:after="120"/>
              <w:contextualSpacing w:val="0"/>
              <w:rPr>
                <w:rFonts w:cstheme="minorHAnsi"/>
                <w:color w:val="000000"/>
              </w:rPr>
            </w:pPr>
            <w:r w:rsidRPr="00606B35">
              <w:rPr>
                <w:rFonts w:cstheme="minorHAnsi"/>
                <w:color w:val="000000"/>
              </w:rPr>
              <w:t xml:space="preserve">Agreeing on </w:t>
            </w:r>
            <w:r w:rsidR="00496CD2" w:rsidRPr="00606B35">
              <w:rPr>
                <w:rFonts w:cstheme="minorHAnsi"/>
                <w:color w:val="000000"/>
              </w:rPr>
              <w:t xml:space="preserve">a </w:t>
            </w:r>
            <w:r w:rsidRPr="00606B35">
              <w:rPr>
                <w:rFonts w:cstheme="minorHAnsi"/>
                <w:color w:val="000000"/>
              </w:rPr>
              <w:t>follow-up schedule</w:t>
            </w:r>
          </w:p>
        </w:tc>
      </w:tr>
    </w:tbl>
    <w:p w14:paraId="749770C4" w14:textId="2BB750A5" w:rsidR="000A2F1B" w:rsidRPr="00606B35" w:rsidRDefault="000A2F1B" w:rsidP="003C3CF5">
      <w:pPr>
        <w:pStyle w:val="Heading1"/>
        <w:spacing w:after="120" w:line="240" w:lineRule="auto"/>
        <w:rPr>
          <w:rFonts w:asciiTheme="minorHAnsi" w:hAnsiTheme="minorHAnsi" w:cstheme="minorBidi"/>
        </w:rPr>
      </w:pPr>
      <w:bookmarkStart w:id="63" w:name="_Toc182989133"/>
      <w:r w:rsidRPr="0294A27B">
        <w:rPr>
          <w:rFonts w:asciiTheme="minorHAnsi" w:hAnsiTheme="minorHAnsi" w:cstheme="minorBidi"/>
        </w:rPr>
        <w:t>Discontinuing PrEP Use</w:t>
      </w:r>
      <w:bookmarkEnd w:id="63"/>
    </w:p>
    <w:p w14:paraId="219447E6" w14:textId="77A4118B" w:rsidR="00594D5D" w:rsidRDefault="16C944BA" w:rsidP="00DD508F">
      <w:pPr>
        <w:spacing w:after="120" w:line="240" w:lineRule="auto"/>
      </w:pPr>
      <w:r w:rsidRPr="56D00486">
        <w:rPr>
          <w:color w:val="000000" w:themeColor="text1"/>
        </w:rPr>
        <w:t>The duration of PrEP use may vary, and individuals are likely to start and stop PrEP depending on their individual assessment</w:t>
      </w:r>
      <w:r w:rsidR="737B6AE6" w:rsidRPr="56D00486">
        <w:rPr>
          <w:color w:val="000000" w:themeColor="text1"/>
        </w:rPr>
        <w:t>s</w:t>
      </w:r>
      <w:r w:rsidRPr="56D00486">
        <w:rPr>
          <w:color w:val="000000" w:themeColor="text1"/>
        </w:rPr>
        <w:t xml:space="preserve"> of potential HIV exposures at different periods in their lives, including changes in </w:t>
      </w:r>
      <w:r w:rsidR="4373DBD7" w:rsidRPr="56D00486">
        <w:rPr>
          <w:color w:val="000000" w:themeColor="text1"/>
        </w:rPr>
        <w:t>relationships and</w:t>
      </w:r>
      <w:r w:rsidRPr="56D00486">
        <w:rPr>
          <w:color w:val="000000" w:themeColor="text1"/>
        </w:rPr>
        <w:t xml:space="preserve"> behaviors.</w:t>
      </w:r>
      <w:r>
        <w:t xml:space="preserve"> Ideally, </w:t>
      </w:r>
      <w:r w:rsidR="25C0B767">
        <w:t>a</w:t>
      </w:r>
      <w:r>
        <w:t xml:space="preserve"> client will inform their service provider when they want to discontinue PrEP</w:t>
      </w:r>
      <w:r w:rsidR="00113037">
        <w:t>. O</w:t>
      </w:r>
      <w:r w:rsidR="0072328C">
        <w:t>ften</w:t>
      </w:r>
      <w:r w:rsidR="00113037">
        <w:t>, however,</w:t>
      </w:r>
      <w:r w:rsidR="0072328C">
        <w:t xml:space="preserve"> </w:t>
      </w:r>
      <w:r w:rsidR="001B2EFE">
        <w:t xml:space="preserve">clients </w:t>
      </w:r>
      <w:r w:rsidR="00D57C1E">
        <w:t xml:space="preserve">may not </w:t>
      </w:r>
      <w:r w:rsidR="007F7EEF">
        <w:t>return to the</w:t>
      </w:r>
      <w:r w:rsidR="009D6904">
        <w:t>ir</w:t>
      </w:r>
      <w:r w:rsidR="007F7EEF">
        <w:t xml:space="preserve"> provider</w:t>
      </w:r>
      <w:r w:rsidR="009D6904">
        <w:t>s</w:t>
      </w:r>
      <w:r w:rsidR="007F7EEF">
        <w:t xml:space="preserve"> at </w:t>
      </w:r>
      <w:proofErr w:type="gramStart"/>
      <w:r w:rsidR="007F7EEF">
        <w:t>all</w:t>
      </w:r>
      <w:proofErr w:type="gramEnd"/>
      <w:r w:rsidR="001B2EFE">
        <w:t xml:space="preserve"> or the provider is informed after a client has already discontinued PrEP</w:t>
      </w:r>
      <w:r>
        <w:t xml:space="preserve">. </w:t>
      </w:r>
      <w:r w:rsidR="00A0497C">
        <w:t>It is therefore important</w:t>
      </w:r>
      <w:r w:rsidR="00C564FD">
        <w:t xml:space="preserve"> that clients </w:t>
      </w:r>
      <w:r w:rsidR="00153473">
        <w:t>are</w:t>
      </w:r>
      <w:r w:rsidR="00C564FD">
        <w:t xml:space="preserve"> informed</w:t>
      </w:r>
      <w:r w:rsidR="00E23416">
        <w:t xml:space="preserve"> </w:t>
      </w:r>
      <w:r w:rsidR="0020757F">
        <w:t>during initiation</w:t>
      </w:r>
      <w:r w:rsidR="000B659B">
        <w:t xml:space="preserve"> and continuation</w:t>
      </w:r>
      <w:r w:rsidR="0020757F">
        <w:t xml:space="preserve"> visit</w:t>
      </w:r>
      <w:r w:rsidR="000B659B">
        <w:t>s</w:t>
      </w:r>
      <w:r w:rsidR="0020757F">
        <w:t xml:space="preserve"> </w:t>
      </w:r>
      <w:r w:rsidR="00E23416">
        <w:t xml:space="preserve">about </w:t>
      </w:r>
      <w:r w:rsidR="00153473">
        <w:t>safely stop</w:t>
      </w:r>
      <w:r w:rsidR="00202639">
        <w:t>ping</w:t>
      </w:r>
      <w:r w:rsidR="00153473">
        <w:t xml:space="preserve"> PrEP (or stop</w:t>
      </w:r>
      <w:r w:rsidR="00202639">
        <w:t>ping</w:t>
      </w:r>
      <w:r w:rsidR="00153473">
        <w:t xml:space="preserve"> and restart</w:t>
      </w:r>
      <w:r w:rsidR="00202639">
        <w:t>ing</w:t>
      </w:r>
      <w:r w:rsidR="00153473">
        <w:t xml:space="preserve"> as appropriate)</w:t>
      </w:r>
      <w:r w:rsidR="009D6904">
        <w:t>.</w:t>
      </w:r>
    </w:p>
    <w:p w14:paraId="70CE0583" w14:textId="25303A60" w:rsidR="000A2F1B" w:rsidRPr="00606B35" w:rsidRDefault="16C944BA" w:rsidP="00DD508F">
      <w:pPr>
        <w:spacing w:after="120" w:line="240" w:lineRule="auto"/>
      </w:pPr>
      <w:r>
        <w:lastRenderedPageBreak/>
        <w:t>During counseling, providers should discuss with clients when it may be appropriate to discontinue PrEP. PrEP use may be discontinued for any of the following reasons:</w:t>
      </w:r>
    </w:p>
    <w:p w14:paraId="2AB66B9A" w14:textId="7777777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Client request</w:t>
      </w:r>
    </w:p>
    <w:p w14:paraId="334AB3E9" w14:textId="77777777" w:rsidR="000A2F1B" w:rsidRPr="00606B35" w:rsidRDefault="000A2F1B" w:rsidP="0294A27B">
      <w:pPr>
        <w:pStyle w:val="ListParagraph"/>
        <w:numPr>
          <w:ilvl w:val="0"/>
          <w:numId w:val="15"/>
        </w:numPr>
        <w:spacing w:after="120" w:line="240" w:lineRule="auto"/>
      </w:pPr>
      <w:r w:rsidRPr="0294A27B">
        <w:t>Positive HIV test (clients who seroconvert while on PrEP should be linked to care and initiated on ART in line with national guidelines)</w:t>
      </w:r>
    </w:p>
    <w:p w14:paraId="53E4B7A0" w14:textId="5580BE41" w:rsidR="000A2F1B" w:rsidRPr="00606B35" w:rsidRDefault="7E3B93CB" w:rsidP="00C24CE7">
      <w:pPr>
        <w:pStyle w:val="ListParagraph"/>
        <w:numPr>
          <w:ilvl w:val="0"/>
          <w:numId w:val="15"/>
        </w:numPr>
        <w:spacing w:after="120" w:line="240" w:lineRule="auto"/>
      </w:pPr>
      <w:r>
        <w:t xml:space="preserve">Safety concerns, such as </w:t>
      </w:r>
      <w:r w:rsidR="686E1842">
        <w:t>estimated creatinine clearance of &lt;60 mL/min or an eGFR of &lt;60 mL/min per 1.73</w:t>
      </w:r>
      <w:r w:rsidR="67BABE43">
        <w:t>m</w:t>
      </w:r>
      <w:r w:rsidR="67BABE43" w:rsidRPr="1D9AD929">
        <w:rPr>
          <w:vertAlign w:val="superscript"/>
        </w:rPr>
        <w:t>2</w:t>
      </w:r>
      <w:r w:rsidR="67BABE43">
        <w:t xml:space="preserve"> (if known)</w:t>
      </w:r>
      <w:r w:rsidR="7667E847">
        <w:t xml:space="preserve"> </w:t>
      </w:r>
      <w:r>
        <w:t xml:space="preserve">for </w:t>
      </w:r>
      <w:r w:rsidR="2C8EBF68">
        <w:t xml:space="preserve">clients using </w:t>
      </w:r>
      <w:r>
        <w:t xml:space="preserve">oral PrEP </w:t>
      </w:r>
      <w:r w:rsidR="587AB816">
        <w:t>(</w:t>
      </w:r>
      <w:r w:rsidR="4738B83A">
        <w:t>appropriate</w:t>
      </w:r>
      <w:r w:rsidR="3EC0022D">
        <w:t xml:space="preserve"> clients </w:t>
      </w:r>
      <w:r w:rsidR="4738B83A">
        <w:t>should</w:t>
      </w:r>
      <w:r w:rsidR="3EC0022D">
        <w:t xml:space="preserve"> also be counseled on </w:t>
      </w:r>
      <w:r w:rsidR="4738B83A">
        <w:t>using the PrEP ring, if applicable</w:t>
      </w:r>
      <w:r w:rsidR="38C083BF">
        <w:t>)</w:t>
      </w:r>
      <w:r w:rsidR="00EE4832">
        <w:t xml:space="preserve"> or confirmed hepatotoxicity for clients using CAB PrEP</w:t>
      </w:r>
      <w:r w:rsidR="38C083BF">
        <w:t>.</w:t>
      </w:r>
      <w:r w:rsidR="2EA47E87">
        <w:t xml:space="preserve"> </w:t>
      </w:r>
    </w:p>
    <w:p w14:paraId="26C6650E" w14:textId="3B4F518E" w:rsidR="00F738B1" w:rsidRPr="00606B35" w:rsidRDefault="000A2F1B" w:rsidP="00B1577A">
      <w:pPr>
        <w:pStyle w:val="ListParagraph"/>
        <w:numPr>
          <w:ilvl w:val="0"/>
          <w:numId w:val="15"/>
        </w:numPr>
        <w:spacing w:before="200" w:after="120" w:line="240" w:lineRule="auto"/>
        <w:contextualSpacing w:val="0"/>
        <w:rPr>
          <w:rFonts w:cstheme="minorHAnsi"/>
        </w:rPr>
      </w:pPr>
      <w:r w:rsidRPr="00606B35">
        <w:rPr>
          <w:rFonts w:cstheme="minorHAnsi"/>
        </w:rPr>
        <w:t xml:space="preserve">No longer </w:t>
      </w:r>
      <w:r w:rsidR="00A948E2" w:rsidRPr="00606B35">
        <w:rPr>
          <w:rFonts w:cstheme="minorHAnsi"/>
        </w:rPr>
        <w:t>likely to be exposed to HIV</w:t>
      </w:r>
    </w:p>
    <w:p w14:paraId="35534035" w14:textId="09BF1B8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 xml:space="preserve">Persistent side effects </w:t>
      </w:r>
      <w:r w:rsidR="00DE55D8" w:rsidRPr="00606B35">
        <w:rPr>
          <w:rFonts w:cstheme="minorHAnsi"/>
        </w:rPr>
        <w:t xml:space="preserve">that </w:t>
      </w:r>
      <w:r w:rsidRPr="00606B35">
        <w:rPr>
          <w:rFonts w:cstheme="minorHAnsi"/>
        </w:rPr>
        <w:t>are not manageable</w:t>
      </w:r>
    </w:p>
    <w:p w14:paraId="55D30F4A" w14:textId="7777777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 xml:space="preserve">Decision to switch to another HIV prevention strategy </w:t>
      </w:r>
    </w:p>
    <w:p w14:paraId="7783301F" w14:textId="51E6E1EA" w:rsidR="00401781" w:rsidRPr="00606B35" w:rsidRDefault="00E829C8" w:rsidP="00391C93">
      <w:pPr>
        <w:pStyle w:val="ListParagraph"/>
        <w:numPr>
          <w:ilvl w:val="0"/>
          <w:numId w:val="15"/>
        </w:numPr>
        <w:spacing w:after="120" w:line="240" w:lineRule="auto"/>
        <w:contextualSpacing w:val="0"/>
        <w:rPr>
          <w:rFonts w:cstheme="minorHAnsi"/>
        </w:rPr>
      </w:pPr>
      <w:r>
        <w:t>Starting use of contraindicated medications</w:t>
      </w:r>
    </w:p>
    <w:p w14:paraId="70FC720F" w14:textId="2E711DD5" w:rsidR="00FE305F" w:rsidRPr="00606B35" w:rsidRDefault="000A2F1B" w:rsidP="00DD508F">
      <w:pPr>
        <w:spacing w:after="120" w:line="240" w:lineRule="auto"/>
      </w:pPr>
      <w:r w:rsidRPr="0294A27B">
        <w:t xml:space="preserve">Instructions on how to discontinue PrEP are included in information about each </w:t>
      </w:r>
      <w:r w:rsidR="001C0B18" w:rsidRPr="0294A27B">
        <w:t>method’s</w:t>
      </w:r>
      <w:r w:rsidRPr="0294A27B">
        <w:t xml:space="preserve"> use above and in the counseling messages.</w:t>
      </w:r>
      <w:bookmarkEnd w:id="61"/>
    </w:p>
    <w:p w14:paraId="291EC6FB" w14:textId="76DB3F18" w:rsidR="00763263" w:rsidRPr="00606B35" w:rsidRDefault="00E2001F" w:rsidP="00DD508F">
      <w:pPr>
        <w:spacing w:after="120" w:line="240" w:lineRule="auto"/>
      </w:pPr>
      <w:r>
        <w:rPr>
          <w:color w:val="000000" w:themeColor="text1"/>
        </w:rPr>
        <w:t xml:space="preserve">For clients with chronic hepatitis B </w:t>
      </w:r>
      <w:r w:rsidR="008F160E">
        <w:rPr>
          <w:color w:val="000000" w:themeColor="text1"/>
        </w:rPr>
        <w:t xml:space="preserve">who stop TDF-based oral PrEP, regular monitoring to detect relapse and management of hepatitis B </w:t>
      </w:r>
      <w:r w:rsidR="005B25E5">
        <w:rPr>
          <w:color w:val="000000" w:themeColor="text1"/>
        </w:rPr>
        <w:t>are</w:t>
      </w:r>
      <w:r w:rsidR="008F160E">
        <w:rPr>
          <w:color w:val="000000" w:themeColor="text1"/>
        </w:rPr>
        <w:t xml:space="preserve"> important. </w:t>
      </w:r>
      <w:r w:rsidR="00797996">
        <w:rPr>
          <w:color w:val="000000" w:themeColor="text1"/>
        </w:rPr>
        <w:t>Clients</w:t>
      </w:r>
      <w:r w:rsidR="005D66E1">
        <w:rPr>
          <w:color w:val="000000" w:themeColor="text1"/>
        </w:rPr>
        <w:t xml:space="preserve"> taking TDF for treatment of hepatitis B</w:t>
      </w:r>
      <w:r w:rsidR="00BC39AB">
        <w:rPr>
          <w:color w:val="000000" w:themeColor="text1"/>
        </w:rPr>
        <w:t xml:space="preserve"> who wish to stop oral PrEP</w:t>
      </w:r>
      <w:r w:rsidR="00976197">
        <w:rPr>
          <w:color w:val="000000" w:themeColor="text1"/>
        </w:rPr>
        <w:t xml:space="preserve"> </w:t>
      </w:r>
      <w:r w:rsidR="008610EB">
        <w:rPr>
          <w:color w:val="000000" w:themeColor="text1"/>
        </w:rPr>
        <w:t>can be switched to a TDF</w:t>
      </w:r>
      <w:r w:rsidR="00797996">
        <w:rPr>
          <w:color w:val="000000" w:themeColor="text1"/>
        </w:rPr>
        <w:t>-</w:t>
      </w:r>
      <w:r w:rsidR="008610EB">
        <w:rPr>
          <w:color w:val="000000" w:themeColor="text1"/>
        </w:rPr>
        <w:t>only regimen</w:t>
      </w:r>
      <w:r w:rsidR="00EF6336">
        <w:rPr>
          <w:color w:val="000000" w:themeColor="text1"/>
        </w:rPr>
        <w:t>.</w:t>
      </w:r>
      <w:r w:rsidR="008610EB">
        <w:rPr>
          <w:color w:val="000000" w:themeColor="text1"/>
        </w:rPr>
        <w:t xml:space="preserve"> </w:t>
      </w:r>
    </w:p>
    <w:p w14:paraId="4F35FD8D" w14:textId="6AB2B6C3" w:rsidR="00AE1F62" w:rsidRDefault="0B4F7F81" w:rsidP="56D00486">
      <w:pPr>
        <w:pStyle w:val="Heading1"/>
        <w:spacing w:before="0" w:after="120" w:line="240" w:lineRule="auto"/>
        <w:rPr>
          <w:rFonts w:asciiTheme="minorHAnsi" w:hAnsiTheme="minorHAnsi" w:cstheme="minorBidi"/>
        </w:rPr>
      </w:pPr>
      <w:bookmarkStart w:id="64" w:name="_Toc182989134"/>
      <w:r w:rsidRPr="56D00486">
        <w:rPr>
          <w:rFonts w:asciiTheme="minorHAnsi" w:hAnsiTheme="minorHAnsi" w:cstheme="minorBidi"/>
        </w:rPr>
        <w:t>Restarting PrEP Use</w:t>
      </w:r>
      <w:bookmarkEnd w:id="64"/>
    </w:p>
    <w:p w14:paraId="531D6EBF" w14:textId="3C6FFB4B" w:rsidR="00FB3A07" w:rsidRPr="00FB3A07" w:rsidRDefault="00FB3A07" w:rsidP="00FB3A07">
      <w:r w:rsidRPr="0294A27B">
        <w:rPr>
          <w:color w:val="000000" w:themeColor="text1"/>
        </w:rPr>
        <w:t>Individuals restarting PrEP will need to be tested again for HIV and free of any contraindications for their chosen PrEP method.</w:t>
      </w:r>
    </w:p>
    <w:tbl>
      <w:tblPr>
        <w:tblW w:w="0" w:type="auto"/>
        <w:tblLook w:val="04A0" w:firstRow="1" w:lastRow="0" w:firstColumn="1" w:lastColumn="0" w:noHBand="0" w:noVBand="1"/>
      </w:tblPr>
      <w:tblGrid>
        <w:gridCol w:w="10456"/>
      </w:tblGrid>
      <w:tr w:rsidR="002B0180" w:rsidRPr="00606B35" w14:paraId="786A8008" w14:textId="77777777" w:rsidTr="56D00486">
        <w:tc>
          <w:tcPr>
            <w:tcW w:w="10456" w:type="dxa"/>
            <w:shd w:val="clear" w:color="auto" w:fill="C5E0B3" w:themeFill="accent6" w:themeFillTint="66"/>
          </w:tcPr>
          <w:p w14:paraId="26B492A5" w14:textId="76536066" w:rsidR="002B0180" w:rsidRPr="00606B35" w:rsidRDefault="1E3B5410" w:rsidP="00DD508F">
            <w:pPr>
              <w:spacing w:after="120"/>
            </w:pPr>
            <w:r w:rsidRPr="56D00486">
              <w:rPr>
                <w:b/>
                <w:bCs/>
                <w:color w:val="000000" w:themeColor="text1"/>
              </w:rPr>
              <w:t>For consideration:</w:t>
            </w:r>
            <w:r w:rsidRPr="56D00486">
              <w:rPr>
                <w:color w:val="000000" w:themeColor="text1"/>
              </w:rPr>
              <w:t xml:space="preserve"> In </w:t>
            </w:r>
            <w:r w:rsidR="18B58CCF" w:rsidRPr="56D00486">
              <w:rPr>
                <w:color w:val="000000" w:themeColor="text1"/>
              </w:rPr>
              <w:t>national</w:t>
            </w:r>
            <w:r w:rsidRPr="56D00486">
              <w:rPr>
                <w:color w:val="000000" w:themeColor="text1"/>
              </w:rPr>
              <w:t xml:space="preserve"> guidelines, some countries have chosen to specify when a client should be considered discontinued based on the number of days after a client stops PrEP use or the number of days after a missed appointment. Typically, this has been followed by procedures to restart someone on PrEP. If a country decides to </w:t>
            </w:r>
            <w:r w:rsidR="00C46648">
              <w:rPr>
                <w:color w:val="000000" w:themeColor="text1"/>
              </w:rPr>
              <w:t>include a discontinuation definition</w:t>
            </w:r>
            <w:r w:rsidRPr="56D00486">
              <w:rPr>
                <w:color w:val="000000" w:themeColor="text1"/>
              </w:rPr>
              <w:t xml:space="preserve">, restarting procedures </w:t>
            </w:r>
            <w:r w:rsidR="3F5DC2DC" w:rsidRPr="56D00486">
              <w:rPr>
                <w:color w:val="000000" w:themeColor="text1"/>
              </w:rPr>
              <w:t xml:space="preserve">that </w:t>
            </w:r>
            <w:r w:rsidRPr="56D00486">
              <w:rPr>
                <w:color w:val="000000" w:themeColor="text1"/>
              </w:rPr>
              <w:t xml:space="preserve">include more than the essential components may become barriers to PrEP use by delaying or preventing someone from restarting PrEP and </w:t>
            </w:r>
            <w:r w:rsidR="40E26BB2" w:rsidRPr="56D00486">
              <w:rPr>
                <w:color w:val="000000" w:themeColor="text1"/>
              </w:rPr>
              <w:t xml:space="preserve">may </w:t>
            </w:r>
            <w:r w:rsidRPr="56D00486">
              <w:rPr>
                <w:color w:val="000000" w:themeColor="text1"/>
              </w:rPr>
              <w:t>increase program costs.</w:t>
            </w:r>
          </w:p>
        </w:tc>
      </w:tr>
    </w:tbl>
    <w:p w14:paraId="525C4E81" w14:textId="0C2B21EB" w:rsidR="00BB5BA3" w:rsidRPr="00606B35" w:rsidRDefault="00BB5BA3" w:rsidP="0030088C">
      <w:pPr>
        <w:pStyle w:val="Heading1"/>
        <w:spacing w:after="120" w:line="240" w:lineRule="auto"/>
        <w:rPr>
          <w:rFonts w:asciiTheme="minorHAnsi" w:hAnsiTheme="minorHAnsi" w:cstheme="minorHAnsi"/>
        </w:rPr>
      </w:pPr>
      <w:bookmarkStart w:id="65" w:name="_Toc182989135"/>
      <w:r w:rsidRPr="00606B35">
        <w:rPr>
          <w:rFonts w:asciiTheme="minorHAnsi" w:hAnsiTheme="minorHAnsi" w:cstheme="minorHAnsi"/>
        </w:rPr>
        <w:t>Management of Clients in Specific Situations</w:t>
      </w:r>
      <w:bookmarkEnd w:id="65"/>
      <w:r w:rsidRPr="00606B35">
        <w:rPr>
          <w:rFonts w:asciiTheme="minorHAnsi" w:hAnsiTheme="minorHAnsi" w:cstheme="minorHAnsi"/>
        </w:rPr>
        <w:t xml:space="preserve"> </w:t>
      </w:r>
    </w:p>
    <w:p w14:paraId="3A3C8AD9" w14:textId="0440E3EC" w:rsidR="00BB5BA3" w:rsidRPr="00606B35" w:rsidRDefault="00BB5BA3" w:rsidP="00DD508F">
      <w:pPr>
        <w:pBdr>
          <w:top w:val="nil"/>
          <w:left w:val="nil"/>
          <w:bottom w:val="nil"/>
          <w:right w:val="nil"/>
          <w:between w:val="nil"/>
        </w:pBdr>
        <w:spacing w:after="120" w:line="240" w:lineRule="auto"/>
        <w:rPr>
          <w:color w:val="000000"/>
        </w:rPr>
      </w:pPr>
      <w:r w:rsidRPr="71945BB9">
        <w:rPr>
          <w:color w:val="000000" w:themeColor="text1"/>
        </w:rPr>
        <w:t xml:space="preserve">This section outlines </w:t>
      </w:r>
      <w:r w:rsidR="278D6565" w:rsidRPr="71945BB9">
        <w:rPr>
          <w:color w:val="000000" w:themeColor="text1"/>
        </w:rPr>
        <w:t xml:space="preserve">the </w:t>
      </w:r>
      <w:r w:rsidRPr="71945BB9">
        <w:rPr>
          <w:color w:val="000000" w:themeColor="text1"/>
        </w:rPr>
        <w:t xml:space="preserve">management of clients in specific situations. </w:t>
      </w:r>
    </w:p>
    <w:p w14:paraId="3FA77475" w14:textId="16377E7A" w:rsidR="00BB5BA3" w:rsidRPr="00606B35" w:rsidRDefault="00BB5BA3" w:rsidP="00DD508F">
      <w:pPr>
        <w:pStyle w:val="Heading2"/>
        <w:spacing w:before="0" w:after="120" w:line="240" w:lineRule="auto"/>
        <w:rPr>
          <w:rFonts w:asciiTheme="minorHAnsi" w:hAnsiTheme="minorHAnsi" w:cstheme="minorBidi"/>
        </w:rPr>
      </w:pPr>
      <w:bookmarkStart w:id="66" w:name="_Toc182989136"/>
      <w:r w:rsidRPr="0294A27B">
        <w:rPr>
          <w:rFonts w:asciiTheme="minorHAnsi" w:hAnsiTheme="minorHAnsi" w:cstheme="minorBidi"/>
        </w:rPr>
        <w:t>Management of Creatinine Elevation</w:t>
      </w:r>
      <w:r w:rsidR="00735AD9" w:rsidRPr="0294A27B">
        <w:rPr>
          <w:rFonts w:asciiTheme="minorHAnsi" w:hAnsiTheme="minorHAnsi" w:cstheme="minorBidi"/>
        </w:rPr>
        <w:t xml:space="preserve"> </w:t>
      </w:r>
      <w:r w:rsidR="00320086" w:rsidRPr="0294A27B">
        <w:rPr>
          <w:rFonts w:asciiTheme="minorHAnsi" w:hAnsiTheme="minorHAnsi" w:cstheme="minorBidi"/>
        </w:rPr>
        <w:t>A</w:t>
      </w:r>
      <w:r w:rsidR="00633464" w:rsidRPr="0294A27B">
        <w:rPr>
          <w:rFonts w:asciiTheme="minorHAnsi" w:hAnsiTheme="minorHAnsi" w:cstheme="minorBidi"/>
        </w:rPr>
        <w:t xml:space="preserve">mong </w:t>
      </w:r>
      <w:r w:rsidR="00AF504B" w:rsidRPr="0294A27B">
        <w:rPr>
          <w:rFonts w:asciiTheme="minorHAnsi" w:hAnsiTheme="minorHAnsi" w:cstheme="minorBidi"/>
        </w:rPr>
        <w:t xml:space="preserve">Clients Using </w:t>
      </w:r>
      <w:r w:rsidR="00735AD9" w:rsidRPr="0294A27B">
        <w:rPr>
          <w:rFonts w:asciiTheme="minorHAnsi" w:hAnsiTheme="minorHAnsi" w:cstheme="minorBidi"/>
        </w:rPr>
        <w:t>Oral PrEP</w:t>
      </w:r>
      <w:bookmarkEnd w:id="66"/>
      <w:r w:rsidR="00735AD9" w:rsidRPr="0294A27B">
        <w:rPr>
          <w:rFonts w:asciiTheme="minorHAnsi" w:hAnsiTheme="minorHAnsi" w:cstheme="minorBidi"/>
        </w:rPr>
        <w:t xml:space="preserve"> </w:t>
      </w:r>
    </w:p>
    <w:p w14:paraId="1FD623BF" w14:textId="340543C3" w:rsidR="00BB5BA3" w:rsidRPr="00606B35" w:rsidRDefault="00BB5BA3" w:rsidP="00DD508F">
      <w:pPr>
        <w:pBdr>
          <w:top w:val="nil"/>
          <w:left w:val="nil"/>
          <w:bottom w:val="nil"/>
          <w:right w:val="nil"/>
          <w:between w:val="nil"/>
        </w:pBdr>
        <w:spacing w:after="120" w:line="240" w:lineRule="auto"/>
        <w:rPr>
          <w:color w:val="000000"/>
        </w:rPr>
      </w:pPr>
      <w:r w:rsidRPr="0294A27B">
        <w:rPr>
          <w:color w:val="000000" w:themeColor="text1"/>
        </w:rPr>
        <w:t>Very few clients experience creatinine elevation</w:t>
      </w:r>
      <w:r w:rsidR="001D3FB7">
        <w:rPr>
          <w:color w:val="000000" w:themeColor="text1"/>
        </w:rPr>
        <w:t>.</w:t>
      </w:r>
      <w:r w:rsidRPr="0294A27B">
        <w:rPr>
          <w:color w:val="000000" w:themeColor="text1"/>
        </w:rPr>
        <w:t xml:space="preserve"> </w:t>
      </w:r>
      <w:r w:rsidR="001D3FB7">
        <w:rPr>
          <w:color w:val="000000" w:themeColor="text1"/>
        </w:rPr>
        <w:t>M</w:t>
      </w:r>
      <w:r w:rsidR="00DE2E8B" w:rsidRPr="0294A27B">
        <w:rPr>
          <w:color w:val="000000" w:themeColor="text1"/>
        </w:rPr>
        <w:t xml:space="preserve">ost </w:t>
      </w:r>
      <w:r w:rsidRPr="0294A27B">
        <w:rPr>
          <w:color w:val="000000" w:themeColor="text1"/>
        </w:rPr>
        <w:t>creatinine elevations are self-limiting</w:t>
      </w:r>
      <w:r w:rsidR="002872EB" w:rsidRPr="0294A27B">
        <w:rPr>
          <w:color w:val="000000" w:themeColor="text1"/>
        </w:rPr>
        <w:t>,</w:t>
      </w:r>
      <w:r w:rsidRPr="0294A27B">
        <w:rPr>
          <w:color w:val="000000" w:themeColor="text1"/>
        </w:rPr>
        <w:t xml:space="preserve"> can be addressed without stopping oral PrEP</w:t>
      </w:r>
      <w:r w:rsidR="002872EB" w:rsidRPr="0294A27B">
        <w:rPr>
          <w:color w:val="000000" w:themeColor="text1"/>
        </w:rPr>
        <w:t>,</w:t>
      </w:r>
      <w:r w:rsidRPr="0294A27B">
        <w:rPr>
          <w:color w:val="000000" w:themeColor="text1"/>
        </w:rPr>
        <w:t xml:space="preserve"> and are caused by dehydration, exercise, diet, diabetes mellitus, hypertension, liver failure, or hepatitis C virus</w:t>
      </w:r>
      <w:r w:rsidR="001D3FB7">
        <w:rPr>
          <w:color w:val="000000" w:themeColor="text1"/>
        </w:rPr>
        <w:t xml:space="preserve">. Some </w:t>
      </w:r>
      <w:r w:rsidRPr="0294A27B">
        <w:rPr>
          <w:color w:val="000000" w:themeColor="text1"/>
        </w:rPr>
        <w:t xml:space="preserve">may </w:t>
      </w:r>
      <w:r w:rsidR="001D3FB7">
        <w:rPr>
          <w:color w:val="000000" w:themeColor="text1"/>
        </w:rPr>
        <w:t>r</w:t>
      </w:r>
      <w:r w:rsidRPr="0294A27B">
        <w:rPr>
          <w:color w:val="000000" w:themeColor="text1"/>
        </w:rPr>
        <w:t>e</w:t>
      </w:r>
      <w:r w:rsidR="001D3FB7">
        <w:rPr>
          <w:color w:val="000000" w:themeColor="text1"/>
        </w:rPr>
        <w:t>flect</w:t>
      </w:r>
      <w:r w:rsidRPr="0294A27B">
        <w:rPr>
          <w:color w:val="000000" w:themeColor="text1"/>
        </w:rPr>
        <w:t xml:space="preserve"> a false-positive test result. Rule out and manage other causes of elevated creatinine. </w:t>
      </w:r>
    </w:p>
    <w:p w14:paraId="767414CB" w14:textId="3170E0F0" w:rsidR="00BB5BA3" w:rsidRPr="00606B35" w:rsidRDefault="00EA74A1" w:rsidP="00DD508F">
      <w:pPr>
        <w:pBdr>
          <w:top w:val="nil"/>
          <w:left w:val="nil"/>
          <w:bottom w:val="nil"/>
          <w:right w:val="nil"/>
          <w:between w:val="nil"/>
        </w:pBdr>
        <w:spacing w:after="120" w:line="240" w:lineRule="auto"/>
        <w:rPr>
          <w:color w:val="000000"/>
        </w:rPr>
      </w:pPr>
      <w:r w:rsidRPr="00606B35">
        <w:rPr>
          <w:color w:val="000000" w:themeColor="text1"/>
        </w:rPr>
        <w:t xml:space="preserve">If the </w:t>
      </w:r>
      <w:r w:rsidRPr="00606B35">
        <w:t>estimated creatinine clearance is &lt;60 mL/min or the eGFR is &lt;60 mL/min per 1.73m</w:t>
      </w:r>
      <w:r w:rsidRPr="00606B35">
        <w:rPr>
          <w:vertAlign w:val="superscript"/>
        </w:rPr>
        <w:t>2</w:t>
      </w:r>
      <w:r w:rsidRPr="00606B35">
        <w:rPr>
          <w:color w:val="000000" w:themeColor="text1"/>
        </w:rPr>
        <w:t xml:space="preserve">, </w:t>
      </w:r>
      <w:r w:rsidR="0076373B" w:rsidRPr="00606B35">
        <w:rPr>
          <w:color w:val="000000" w:themeColor="text1"/>
        </w:rPr>
        <w:t>the</w:t>
      </w:r>
      <w:r w:rsidR="0019373B" w:rsidRPr="00606B35">
        <w:rPr>
          <w:color w:val="000000" w:themeColor="text1"/>
        </w:rPr>
        <w:t xml:space="preserve"> </w:t>
      </w:r>
      <w:r w:rsidRPr="00606B35">
        <w:rPr>
          <w:rStyle w:val="fontstyle01"/>
        </w:rPr>
        <w:t>kidney function test should be repeated on a separate day</w:t>
      </w:r>
      <w:r w:rsidRPr="00606B35">
        <w:rPr>
          <w:color w:val="000000" w:themeColor="text1"/>
        </w:rPr>
        <w:t xml:space="preserve"> before stopping oral PrEP. Oral PrEP should be stopped if </w:t>
      </w:r>
      <w:r w:rsidR="000A14CC" w:rsidRPr="00606B35">
        <w:rPr>
          <w:color w:val="000000" w:themeColor="text1"/>
        </w:rPr>
        <w:t xml:space="preserve">the </w:t>
      </w:r>
      <w:r w:rsidRPr="00606B35">
        <w:rPr>
          <w:color w:val="000000" w:themeColor="text1"/>
        </w:rPr>
        <w:t xml:space="preserve">repeat test </w:t>
      </w:r>
      <w:r w:rsidR="000A14CC" w:rsidRPr="00606B35">
        <w:rPr>
          <w:color w:val="000000" w:themeColor="text1"/>
        </w:rPr>
        <w:t xml:space="preserve">results </w:t>
      </w:r>
      <w:r w:rsidRPr="00606B35">
        <w:rPr>
          <w:color w:val="000000" w:themeColor="text1"/>
        </w:rPr>
        <w:t xml:space="preserve">also </w:t>
      </w:r>
      <w:r w:rsidR="000A14CC" w:rsidRPr="00606B35">
        <w:rPr>
          <w:color w:val="000000" w:themeColor="text1"/>
        </w:rPr>
        <w:t>show the</w:t>
      </w:r>
      <w:r w:rsidR="00CC3430" w:rsidRPr="00606B35">
        <w:rPr>
          <w:color w:val="000000" w:themeColor="text1"/>
        </w:rPr>
        <w:t xml:space="preserve"> </w:t>
      </w:r>
      <w:r w:rsidR="00CC3430" w:rsidRPr="00606B35">
        <w:t>estimated creatinine clearance is &lt;60 mL/min or the eGFR is &lt;60 mL/min per 1.73m</w:t>
      </w:r>
      <w:r w:rsidR="00CC3430" w:rsidRPr="00606B35">
        <w:rPr>
          <w:vertAlign w:val="superscript"/>
        </w:rPr>
        <w:t>2</w:t>
      </w:r>
      <w:r w:rsidRPr="00606B35">
        <w:rPr>
          <w:color w:val="000000" w:themeColor="text1"/>
        </w:rPr>
        <w:t xml:space="preserve">. These clients should be counseled on other HIV prevention strategies, including other PrEP methods. </w:t>
      </w:r>
      <w:r w:rsidRPr="00606B35">
        <w:rPr>
          <w:rStyle w:val="fontstyle01"/>
        </w:rPr>
        <w:t xml:space="preserve">Kidney function usually returns to normal levels after stopping oral PrEP. Oral PrEP can be restarted if an </w:t>
      </w:r>
      <w:r w:rsidRPr="00606B35">
        <w:t xml:space="preserve">estimated creatinine clearance of </w:t>
      </w:r>
      <w:r w:rsidRPr="00606B35">
        <w:rPr>
          <w:color w:val="000000" w:themeColor="text1"/>
        </w:rPr>
        <w:t>≥</w:t>
      </w:r>
      <w:r w:rsidRPr="00606B35">
        <w:t xml:space="preserve">60 mL/min or eGFR of </w:t>
      </w:r>
      <w:r w:rsidRPr="00606B35">
        <w:rPr>
          <w:color w:val="000000" w:themeColor="text1"/>
        </w:rPr>
        <w:t>≥</w:t>
      </w:r>
      <w:r w:rsidRPr="00606B35">
        <w:t>60 mL/min per 1.73m</w:t>
      </w:r>
      <w:r w:rsidRPr="00606B35">
        <w:rPr>
          <w:vertAlign w:val="superscript"/>
        </w:rPr>
        <w:t>2</w:t>
      </w:r>
      <w:r w:rsidRPr="00606B35">
        <w:rPr>
          <w:rStyle w:val="fontstyle01"/>
        </w:rPr>
        <w:t xml:space="preserve"> is confirmed one to three months after stopping oral PrEP. If kidney function does not return to normal levels after stopping PrEP, other causes of kidney insufficiency should be evaluated.</w:t>
      </w:r>
    </w:p>
    <w:tbl>
      <w:tblPr>
        <w:tblW w:w="0" w:type="auto"/>
        <w:tblLook w:val="04A0" w:firstRow="1" w:lastRow="0" w:firstColumn="1" w:lastColumn="0" w:noHBand="0" w:noVBand="1"/>
      </w:tblPr>
      <w:tblGrid>
        <w:gridCol w:w="10456"/>
      </w:tblGrid>
      <w:tr w:rsidR="004153D1" w:rsidRPr="00606B35" w14:paraId="71186EB8" w14:textId="77777777" w:rsidTr="004153D1">
        <w:tc>
          <w:tcPr>
            <w:tcW w:w="10456" w:type="dxa"/>
            <w:shd w:val="clear" w:color="auto" w:fill="C5E0B3" w:themeFill="accent6" w:themeFillTint="66"/>
          </w:tcPr>
          <w:p w14:paraId="515C6A2D" w14:textId="29493B96" w:rsidR="004153D1" w:rsidRPr="00606B35" w:rsidRDefault="004153D1" w:rsidP="00DD508F">
            <w:pPr>
              <w:spacing w:after="120"/>
              <w:rPr>
                <w:color w:val="000000"/>
              </w:rPr>
            </w:pPr>
            <w:r w:rsidRPr="0294A27B">
              <w:rPr>
                <w:b/>
                <w:color w:val="000000" w:themeColor="text1"/>
              </w:rPr>
              <w:t xml:space="preserve">For consideration: </w:t>
            </w:r>
            <w:r w:rsidRPr="0294A27B">
              <w:rPr>
                <w:color w:val="000000" w:themeColor="text1"/>
              </w:rPr>
              <w:t xml:space="preserve">National guidelines may want to consider stopping oral PrEP </w:t>
            </w:r>
            <w:r w:rsidR="0038578A" w:rsidRPr="0294A27B">
              <w:rPr>
                <w:color w:val="000000" w:themeColor="text1"/>
              </w:rPr>
              <w:t xml:space="preserve">use </w:t>
            </w:r>
            <w:r w:rsidRPr="0294A27B">
              <w:rPr>
                <w:color w:val="000000" w:themeColor="text1"/>
              </w:rPr>
              <w:t xml:space="preserve">if </w:t>
            </w:r>
            <w:r w:rsidR="0038578A" w:rsidRPr="0294A27B">
              <w:rPr>
                <w:color w:val="000000" w:themeColor="text1"/>
              </w:rPr>
              <w:t xml:space="preserve">a client’s </w:t>
            </w:r>
            <w:r w:rsidRPr="0294A27B">
              <w:rPr>
                <w:color w:val="000000" w:themeColor="text1"/>
              </w:rPr>
              <w:t>creatinine clearance on the initial test</w:t>
            </w:r>
            <w:r w:rsidR="00BB7969" w:rsidRPr="0294A27B">
              <w:rPr>
                <w:color w:val="000000" w:themeColor="text1"/>
              </w:rPr>
              <w:t xml:space="preserve"> is </w:t>
            </w:r>
            <w:r w:rsidRPr="0294A27B">
              <w:rPr>
                <w:color w:val="000000" w:themeColor="text1"/>
              </w:rPr>
              <w:t xml:space="preserve">&lt; 50 mL/min, but this is not per WHO guidance and </w:t>
            </w:r>
            <w:r w:rsidR="00DC4256" w:rsidRPr="0294A27B">
              <w:rPr>
                <w:color w:val="000000" w:themeColor="text1"/>
              </w:rPr>
              <w:t xml:space="preserve">is </w:t>
            </w:r>
            <w:r w:rsidRPr="0294A27B">
              <w:rPr>
                <w:color w:val="000000" w:themeColor="text1"/>
              </w:rPr>
              <w:t>an area where national guidelines have varied. Example text from other national guidelines</w:t>
            </w:r>
            <w:r w:rsidR="006D0065" w:rsidRPr="0294A27B">
              <w:rPr>
                <w:color w:val="000000" w:themeColor="text1"/>
              </w:rPr>
              <w:t xml:space="preserve"> is as follows:</w:t>
            </w:r>
            <w:r w:rsidRPr="0294A27B">
              <w:rPr>
                <w:color w:val="000000" w:themeColor="text1"/>
              </w:rPr>
              <w:t xml:space="preserve"> </w:t>
            </w:r>
          </w:p>
          <w:p w14:paraId="61621863" w14:textId="77777777" w:rsidR="004153D1" w:rsidRPr="00606B35" w:rsidRDefault="004153D1" w:rsidP="00DD508F">
            <w:pPr>
              <w:pBdr>
                <w:top w:val="nil"/>
                <w:left w:val="nil"/>
                <w:bottom w:val="nil"/>
                <w:right w:val="nil"/>
                <w:between w:val="nil"/>
              </w:pBdr>
              <w:spacing w:after="120"/>
              <w:rPr>
                <w:rFonts w:cstheme="minorHAnsi"/>
                <w:color w:val="000000"/>
              </w:rPr>
            </w:pPr>
            <w:r w:rsidRPr="00606B35">
              <w:rPr>
                <w:rFonts w:cstheme="minorHAnsi"/>
                <w:color w:val="000000"/>
              </w:rPr>
              <w:lastRenderedPageBreak/>
              <w:t xml:space="preserve">If the calculated creatinine clearance is: </w:t>
            </w:r>
          </w:p>
          <w:p w14:paraId="15FA30E9" w14:textId="77777777" w:rsidR="004153D1" w:rsidRPr="00606B35" w:rsidRDefault="004153D1" w:rsidP="00391C93">
            <w:pPr>
              <w:numPr>
                <w:ilvl w:val="0"/>
                <w:numId w:val="3"/>
              </w:numPr>
              <w:pBdr>
                <w:top w:val="nil"/>
                <w:left w:val="nil"/>
                <w:bottom w:val="nil"/>
                <w:right w:val="nil"/>
                <w:between w:val="nil"/>
              </w:pBdr>
              <w:spacing w:after="120"/>
              <w:rPr>
                <w:color w:val="000000"/>
              </w:rPr>
            </w:pPr>
            <w:r w:rsidRPr="0294A27B">
              <w:rPr>
                <w:color w:val="000000" w:themeColor="text1"/>
              </w:rPr>
              <w:t xml:space="preserve">&lt; 50 mL/min: Stop oral PrEP and refer to </w:t>
            </w:r>
            <w:r w:rsidRPr="0294A27B">
              <w:rPr>
                <w:color w:val="FF0000"/>
              </w:rPr>
              <w:t xml:space="preserve">[clinical staff cadre] </w:t>
            </w:r>
            <w:r w:rsidRPr="0294A27B">
              <w:rPr>
                <w:color w:val="000000" w:themeColor="text1"/>
              </w:rPr>
              <w:t>immediately.</w:t>
            </w:r>
          </w:p>
          <w:p w14:paraId="5A9A6B6F" w14:textId="30689361" w:rsidR="004153D1" w:rsidRPr="00606B35" w:rsidRDefault="004153D1" w:rsidP="00391C93">
            <w:pPr>
              <w:numPr>
                <w:ilvl w:val="0"/>
                <w:numId w:val="3"/>
              </w:numPr>
              <w:pBdr>
                <w:top w:val="nil"/>
                <w:left w:val="nil"/>
                <w:bottom w:val="nil"/>
                <w:right w:val="nil"/>
                <w:between w:val="nil"/>
              </w:pBdr>
              <w:spacing w:after="120"/>
              <w:rPr>
                <w:color w:val="000000"/>
              </w:rPr>
            </w:pPr>
            <w:r w:rsidRPr="0294A27B">
              <w:rPr>
                <w:color w:val="000000" w:themeColor="text1"/>
              </w:rPr>
              <w:t xml:space="preserve">50-60 mL/min: Repeat serum creatinine within two weeks. If </w:t>
            </w:r>
            <w:r w:rsidR="00F55235" w:rsidRPr="0294A27B">
              <w:rPr>
                <w:color w:val="000000" w:themeColor="text1"/>
              </w:rPr>
              <w:t>the</w:t>
            </w:r>
            <w:r w:rsidRPr="0294A27B">
              <w:rPr>
                <w:color w:val="000000" w:themeColor="text1"/>
              </w:rPr>
              <w:t xml:space="preserve"> repeat sample creatinine clearance</w:t>
            </w:r>
            <w:r w:rsidR="00015456">
              <w:rPr>
                <w:color w:val="000000" w:themeColor="text1"/>
              </w:rPr>
              <w:t xml:space="preserve"> is</w:t>
            </w:r>
            <w:r w:rsidRPr="0294A27B">
              <w:rPr>
                <w:color w:val="000000" w:themeColor="text1"/>
              </w:rPr>
              <w:t xml:space="preserve"> &lt;60 mL/min, stop oral </w:t>
            </w:r>
            <w:r w:rsidR="00EF6FE2" w:rsidRPr="0294A27B">
              <w:rPr>
                <w:color w:val="000000" w:themeColor="text1"/>
              </w:rPr>
              <w:t>PrEP</w:t>
            </w:r>
            <w:r w:rsidRPr="0294A27B">
              <w:rPr>
                <w:color w:val="000000" w:themeColor="text1"/>
              </w:rPr>
              <w:t xml:space="preserve"> and consult with </w:t>
            </w:r>
            <w:r w:rsidRPr="0294A27B">
              <w:rPr>
                <w:color w:val="FF0000"/>
              </w:rPr>
              <w:t xml:space="preserve">[clinical staff cadre] </w:t>
            </w:r>
            <w:r w:rsidRPr="0294A27B">
              <w:rPr>
                <w:color w:val="000000" w:themeColor="text1"/>
              </w:rPr>
              <w:t>for further investigation and management.</w:t>
            </w:r>
          </w:p>
        </w:tc>
      </w:tr>
    </w:tbl>
    <w:p w14:paraId="66FC06D3" w14:textId="574AC399" w:rsidR="00BB5BA3" w:rsidRPr="00606B35" w:rsidRDefault="0B0707B2" w:rsidP="1D9AD929">
      <w:pPr>
        <w:pStyle w:val="Heading2"/>
        <w:spacing w:before="240" w:after="120" w:line="240" w:lineRule="auto"/>
        <w:rPr>
          <w:rFonts w:asciiTheme="minorHAnsi" w:hAnsiTheme="minorHAnsi" w:cstheme="minorBidi"/>
        </w:rPr>
      </w:pPr>
      <w:bookmarkStart w:id="67" w:name="_heading=h.4i7ojhp"/>
      <w:bookmarkStart w:id="68" w:name="_Toc182989137"/>
      <w:bookmarkEnd w:id="67"/>
      <w:r w:rsidRPr="1D9AD929">
        <w:rPr>
          <w:rFonts w:asciiTheme="minorHAnsi" w:hAnsiTheme="minorHAnsi" w:cstheme="minorBidi"/>
        </w:rPr>
        <w:lastRenderedPageBreak/>
        <w:t>Management of HIV Seroconversion</w:t>
      </w:r>
      <w:bookmarkEnd w:id="68"/>
    </w:p>
    <w:p w14:paraId="6D9EB2B4" w14:textId="1F8B471A" w:rsidR="00BB5BA3" w:rsidRPr="00606B35" w:rsidRDefault="00BB5BA3" w:rsidP="00DD508F">
      <w:pPr>
        <w:pBdr>
          <w:top w:val="nil"/>
          <w:left w:val="nil"/>
          <w:bottom w:val="nil"/>
          <w:right w:val="nil"/>
          <w:between w:val="nil"/>
        </w:pBdr>
        <w:spacing w:after="120" w:line="240" w:lineRule="auto"/>
        <w:rPr>
          <w:color w:val="000000"/>
        </w:rPr>
      </w:pPr>
      <w:r w:rsidRPr="0294A27B">
        <w:rPr>
          <w:color w:val="000000" w:themeColor="text1"/>
        </w:rPr>
        <w:t>If a client seroconverts while on PrEP or after starting PrEP (even if not taking PrEP or not taking PrEP consistently):</w:t>
      </w:r>
    </w:p>
    <w:p w14:paraId="3E94C4ED" w14:textId="77777777" w:rsidR="00696598" w:rsidRPr="00606B35" w:rsidRDefault="00696598" w:rsidP="0294A27B">
      <w:pPr>
        <w:pStyle w:val="ListParagraph"/>
        <w:numPr>
          <w:ilvl w:val="0"/>
          <w:numId w:val="18"/>
        </w:numPr>
        <w:pBdr>
          <w:top w:val="nil"/>
          <w:left w:val="nil"/>
          <w:bottom w:val="nil"/>
          <w:right w:val="nil"/>
          <w:between w:val="nil"/>
        </w:pBdr>
        <w:spacing w:after="120" w:line="240" w:lineRule="auto"/>
        <w:rPr>
          <w:color w:val="000000"/>
        </w:rPr>
      </w:pPr>
      <w:r w:rsidRPr="0294A27B">
        <w:rPr>
          <w:color w:val="000000" w:themeColor="text1"/>
        </w:rPr>
        <w:t xml:space="preserve">Discontinue PrEP use immediately. </w:t>
      </w:r>
    </w:p>
    <w:p w14:paraId="25DB9CCA" w14:textId="58D4787A" w:rsidR="00DF4015" w:rsidRPr="00606B35"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606B35">
        <w:rPr>
          <w:rFonts w:cstheme="minorHAnsi"/>
          <w:color w:val="000000"/>
        </w:rPr>
        <w:t xml:space="preserve">Confirm </w:t>
      </w:r>
      <w:r w:rsidR="003B612B">
        <w:rPr>
          <w:rFonts w:cstheme="minorHAnsi"/>
          <w:color w:val="000000"/>
        </w:rPr>
        <w:t>using</w:t>
      </w:r>
      <w:r w:rsidRPr="00606B35">
        <w:rPr>
          <w:rFonts w:cstheme="minorHAnsi"/>
          <w:color w:val="000000"/>
        </w:rPr>
        <w:t xml:space="preserve"> national testing algorithm.</w:t>
      </w:r>
    </w:p>
    <w:p w14:paraId="324F448F" w14:textId="481171C9" w:rsidR="00DF4015" w:rsidRPr="00606B35"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606B35">
        <w:rPr>
          <w:rFonts w:cstheme="minorHAnsi"/>
          <w:color w:val="000000"/>
        </w:rPr>
        <w:t>Immediately link to care and initiate on ART (per national ART guidelines).</w:t>
      </w:r>
    </w:p>
    <w:p w14:paraId="27CCDD0F" w14:textId="0D394B3B" w:rsidR="00BB5BA3" w:rsidRDefault="00BB5BA3" w:rsidP="0294A27B">
      <w:pPr>
        <w:pStyle w:val="ListParagraph"/>
        <w:numPr>
          <w:ilvl w:val="0"/>
          <w:numId w:val="18"/>
        </w:numPr>
        <w:pBdr>
          <w:top w:val="nil"/>
          <w:left w:val="nil"/>
          <w:bottom w:val="nil"/>
          <w:right w:val="nil"/>
          <w:between w:val="nil"/>
        </w:pBdr>
        <w:spacing w:after="120" w:line="240" w:lineRule="auto"/>
        <w:rPr>
          <w:color w:val="000000"/>
        </w:rPr>
      </w:pPr>
      <w:r w:rsidRPr="0294A27B">
        <w:rPr>
          <w:color w:val="000000" w:themeColor="text1"/>
        </w:rPr>
        <w:t xml:space="preserve">Document seroconversion and possible </w:t>
      </w:r>
      <w:bookmarkStart w:id="69" w:name="_Int_GF8yttRQ"/>
      <w:r w:rsidRPr="0294A27B">
        <w:rPr>
          <w:color w:val="000000" w:themeColor="text1"/>
        </w:rPr>
        <w:t>reason</w:t>
      </w:r>
      <w:bookmarkEnd w:id="69"/>
      <w:r w:rsidRPr="0294A27B">
        <w:rPr>
          <w:color w:val="000000" w:themeColor="text1"/>
        </w:rPr>
        <w:t xml:space="preserve"> for seroconversion (non-</w:t>
      </w:r>
      <w:r w:rsidR="0050534D" w:rsidRPr="0294A27B">
        <w:rPr>
          <w:color w:val="000000" w:themeColor="text1"/>
        </w:rPr>
        <w:t>effective use</w:t>
      </w:r>
      <w:r w:rsidRPr="0294A27B">
        <w:rPr>
          <w:color w:val="000000" w:themeColor="text1"/>
        </w:rPr>
        <w:t xml:space="preserve">, stopped taking PrEP, or PrEP failure, i.e., breakthrough </w:t>
      </w:r>
      <w:r w:rsidR="00DF4015" w:rsidRPr="0294A27B">
        <w:rPr>
          <w:color w:val="000000" w:themeColor="text1"/>
        </w:rPr>
        <w:t>HIV</w:t>
      </w:r>
      <w:r w:rsidRPr="0294A27B">
        <w:rPr>
          <w:color w:val="000000" w:themeColor="text1"/>
        </w:rPr>
        <w:t xml:space="preserve"> while adherent to PrEP)</w:t>
      </w:r>
      <w:r w:rsidR="003D3045" w:rsidRPr="0294A27B">
        <w:rPr>
          <w:color w:val="000000" w:themeColor="text1"/>
        </w:rPr>
        <w:t xml:space="preserve"> and</w:t>
      </w:r>
      <w:r w:rsidR="00ED2121" w:rsidRPr="0294A27B">
        <w:rPr>
          <w:color w:val="000000" w:themeColor="text1"/>
        </w:rPr>
        <w:t>,</w:t>
      </w:r>
      <w:r w:rsidR="003D3045" w:rsidRPr="0294A27B">
        <w:rPr>
          <w:color w:val="000000" w:themeColor="text1"/>
        </w:rPr>
        <w:t xml:space="preserve"> </w:t>
      </w:r>
      <w:r w:rsidR="001F34D7" w:rsidRPr="0294A27B">
        <w:rPr>
          <w:color w:val="000000" w:themeColor="text1"/>
        </w:rPr>
        <w:t xml:space="preserve">if available and indicated, </w:t>
      </w:r>
      <w:r w:rsidR="003D3045" w:rsidRPr="0294A27B">
        <w:rPr>
          <w:color w:val="000000" w:themeColor="text1"/>
        </w:rPr>
        <w:t>link to HIV drug resistance testing</w:t>
      </w:r>
      <w:r w:rsidR="001F34D7" w:rsidRPr="0294A27B">
        <w:rPr>
          <w:color w:val="000000" w:themeColor="text1"/>
        </w:rPr>
        <w:t>.</w:t>
      </w:r>
    </w:p>
    <w:p w14:paraId="7949588B" w14:textId="39675441" w:rsidR="00BB5BA3" w:rsidRPr="00606B35" w:rsidRDefault="7B941D68" w:rsidP="56D00486">
      <w:pPr>
        <w:pStyle w:val="Heading2"/>
        <w:spacing w:before="0" w:after="120" w:line="240" w:lineRule="auto"/>
        <w:rPr>
          <w:rFonts w:asciiTheme="minorHAnsi" w:hAnsiTheme="minorHAnsi" w:cstheme="minorBidi"/>
        </w:rPr>
      </w:pPr>
      <w:bookmarkStart w:id="70" w:name="_Toc182989138"/>
      <w:r w:rsidRPr="56D00486">
        <w:rPr>
          <w:rFonts w:asciiTheme="minorHAnsi" w:hAnsiTheme="minorHAnsi" w:cstheme="minorBidi"/>
        </w:rPr>
        <w:t>Management of Side Effects and Adverse Drug Reactions</w:t>
      </w:r>
      <w:bookmarkEnd w:id="70"/>
      <w:r w:rsidRPr="56D00486">
        <w:rPr>
          <w:rFonts w:asciiTheme="minorHAnsi" w:hAnsiTheme="minorHAnsi" w:cstheme="minorBidi"/>
        </w:rPr>
        <w:t xml:space="preserve"> </w:t>
      </w:r>
    </w:p>
    <w:p w14:paraId="015D48CE" w14:textId="553E8DDF" w:rsidR="0007236B" w:rsidRDefault="7B941D68" w:rsidP="56D00486">
      <w:pPr>
        <w:pBdr>
          <w:top w:val="nil"/>
          <w:left w:val="nil"/>
          <w:bottom w:val="nil"/>
          <w:right w:val="nil"/>
          <w:between w:val="nil"/>
        </w:pBdr>
        <w:spacing w:after="120" w:line="240" w:lineRule="auto"/>
        <w:rPr>
          <w:color w:val="000000" w:themeColor="text1"/>
        </w:rPr>
      </w:pPr>
      <w:r w:rsidRPr="56D00486">
        <w:rPr>
          <w:color w:val="000000" w:themeColor="text1"/>
        </w:rPr>
        <w:t>Side effects should be managed symptomatically</w:t>
      </w:r>
      <w:r w:rsidR="00785F2A" w:rsidRPr="56D00486">
        <w:rPr>
          <w:color w:val="000000" w:themeColor="text1"/>
        </w:rPr>
        <w:t>,</w:t>
      </w:r>
      <w:r w:rsidR="25DA8A65" w:rsidRPr="56D00486">
        <w:rPr>
          <w:color w:val="000000" w:themeColor="text1"/>
        </w:rPr>
        <w:t xml:space="preserve"> and most will resolve within the first month of use. </w:t>
      </w:r>
      <w:r w:rsidR="3D53047A" w:rsidRPr="56D00486">
        <w:rPr>
          <w:color w:val="000000" w:themeColor="text1"/>
        </w:rPr>
        <w:t>C</w:t>
      </w:r>
      <w:r w:rsidRPr="56D00486">
        <w:rPr>
          <w:color w:val="000000" w:themeColor="text1"/>
        </w:rPr>
        <w:t xml:space="preserve">ounseling </w:t>
      </w:r>
      <w:r w:rsidR="73216380" w:rsidRPr="56D00486">
        <w:rPr>
          <w:color w:val="000000" w:themeColor="text1"/>
        </w:rPr>
        <w:t xml:space="preserve">to support management of side effects </w:t>
      </w:r>
      <w:r w:rsidRPr="56D00486">
        <w:rPr>
          <w:color w:val="000000" w:themeColor="text1"/>
        </w:rPr>
        <w:t xml:space="preserve">should be provided. </w:t>
      </w:r>
      <w:r w:rsidR="5CEC1E12" w:rsidRPr="56D00486">
        <w:rPr>
          <w:color w:val="000000" w:themeColor="text1"/>
        </w:rPr>
        <w:t xml:space="preserve">Any side effects should be recorded in client records and </w:t>
      </w:r>
      <w:r w:rsidR="5CEC1E12" w:rsidRPr="56D00486">
        <w:rPr>
          <w:color w:val="FF0000"/>
        </w:rPr>
        <w:t>[relevant forms]</w:t>
      </w:r>
      <w:r w:rsidR="5CEC1E12" w:rsidRPr="56D00486">
        <w:rPr>
          <w:color w:val="000000" w:themeColor="text1"/>
        </w:rPr>
        <w:t xml:space="preserve"> regardless of severity. </w:t>
      </w:r>
      <w:r w:rsidRPr="56D00486">
        <w:rPr>
          <w:color w:val="000000" w:themeColor="text1"/>
        </w:rPr>
        <w:t xml:space="preserve">Major toxicities (including renal toxicity and metabolic complications) associated with </w:t>
      </w:r>
      <w:bookmarkStart w:id="71" w:name="_Int_2fVdc7G2"/>
      <w:r w:rsidRPr="56D00486">
        <w:rPr>
          <w:color w:val="000000" w:themeColor="text1"/>
        </w:rPr>
        <w:t>TDF</w:t>
      </w:r>
      <w:bookmarkEnd w:id="71"/>
      <w:r w:rsidRPr="56D00486">
        <w:rPr>
          <w:color w:val="000000" w:themeColor="text1"/>
        </w:rPr>
        <w:t xml:space="preserve"> and FTC are rare in oral PrEP exposure to date. </w:t>
      </w:r>
      <w:r w:rsidR="5BA9F990" w:rsidRPr="56D00486">
        <w:rPr>
          <w:color w:val="000000" w:themeColor="text1"/>
        </w:rPr>
        <w:t xml:space="preserve">No major toxicities or </w:t>
      </w:r>
      <w:r w:rsidR="7D7B7080" w:rsidRPr="56D00486">
        <w:rPr>
          <w:color w:val="000000" w:themeColor="text1"/>
        </w:rPr>
        <w:t xml:space="preserve">severe adverse reactions have been shown to be </w:t>
      </w:r>
      <w:r w:rsidR="2990C188" w:rsidRPr="56D00486">
        <w:rPr>
          <w:color w:val="000000" w:themeColor="text1"/>
        </w:rPr>
        <w:t>related to ring</w:t>
      </w:r>
      <w:r w:rsidR="656879C5" w:rsidRPr="56D00486">
        <w:rPr>
          <w:color w:val="000000" w:themeColor="text1"/>
        </w:rPr>
        <w:t xml:space="preserve"> </w:t>
      </w:r>
      <w:r w:rsidR="2990C188" w:rsidRPr="56D00486">
        <w:rPr>
          <w:color w:val="000000" w:themeColor="text1"/>
        </w:rPr>
        <w:t xml:space="preserve">use. </w:t>
      </w:r>
      <w:r w:rsidR="659BABA4" w:rsidRPr="56D00486">
        <w:rPr>
          <w:color w:val="000000" w:themeColor="text1"/>
        </w:rPr>
        <w:t>Severe adverse reactions</w:t>
      </w:r>
      <w:r w:rsidR="6699EFE7" w:rsidRPr="56D00486">
        <w:rPr>
          <w:color w:val="000000" w:themeColor="text1"/>
        </w:rPr>
        <w:t>, both injection</w:t>
      </w:r>
      <w:r w:rsidR="6FF6854F" w:rsidRPr="56D00486">
        <w:rPr>
          <w:color w:val="000000" w:themeColor="text1"/>
        </w:rPr>
        <w:t xml:space="preserve"> site</w:t>
      </w:r>
      <w:r w:rsidR="6699EFE7" w:rsidRPr="56D00486">
        <w:rPr>
          <w:color w:val="000000" w:themeColor="text1"/>
        </w:rPr>
        <w:t xml:space="preserve"> and non-injection</w:t>
      </w:r>
      <w:r w:rsidR="6FF6854F" w:rsidRPr="56D00486">
        <w:rPr>
          <w:color w:val="000000" w:themeColor="text1"/>
        </w:rPr>
        <w:t xml:space="preserve"> site</w:t>
      </w:r>
      <w:r w:rsidR="6699EFE7" w:rsidRPr="56D00486">
        <w:rPr>
          <w:color w:val="000000" w:themeColor="text1"/>
        </w:rPr>
        <w:t xml:space="preserve"> related,</w:t>
      </w:r>
      <w:r w:rsidR="659BABA4" w:rsidRPr="56D00486">
        <w:rPr>
          <w:color w:val="000000" w:themeColor="text1"/>
        </w:rPr>
        <w:t xml:space="preserve"> </w:t>
      </w:r>
      <w:r w:rsidR="57A15CCC" w:rsidRPr="56D00486">
        <w:rPr>
          <w:color w:val="000000" w:themeColor="text1"/>
        </w:rPr>
        <w:t>are rare in CAB PrEP exposure to date</w:t>
      </w:r>
      <w:r w:rsidR="6FF6854F" w:rsidRPr="56D00486">
        <w:rPr>
          <w:color w:val="000000" w:themeColor="text1"/>
        </w:rPr>
        <w:t xml:space="preserve">. </w:t>
      </w:r>
      <w:r w:rsidR="2C09CC9F" w:rsidRPr="56D00486">
        <w:rPr>
          <w:color w:val="000000" w:themeColor="text1"/>
        </w:rPr>
        <w:t xml:space="preserve">Consult </w:t>
      </w:r>
      <w:r w:rsidR="2C09CC9F" w:rsidRPr="56D00486">
        <w:rPr>
          <w:color w:val="FF0000"/>
        </w:rPr>
        <w:t xml:space="preserve">[clinical staff cadre] </w:t>
      </w:r>
      <w:r w:rsidR="2C09CC9F" w:rsidRPr="56D00486">
        <w:rPr>
          <w:color w:val="000000" w:themeColor="text1"/>
        </w:rPr>
        <w:t xml:space="preserve">if these occur. </w:t>
      </w:r>
      <w:r w:rsidRPr="56D00486">
        <w:rPr>
          <w:color w:val="000000" w:themeColor="text1"/>
        </w:rPr>
        <w:t xml:space="preserve">Complete the national </w:t>
      </w:r>
      <w:r w:rsidRPr="56D00486">
        <w:rPr>
          <w:color w:val="FF0000"/>
        </w:rPr>
        <w:t xml:space="preserve">[adverse drug reaction form] </w:t>
      </w:r>
      <w:r w:rsidRPr="56D00486">
        <w:rPr>
          <w:color w:val="000000" w:themeColor="text1"/>
        </w:rPr>
        <w:t>and report per standard operating procedures.</w:t>
      </w:r>
      <w:r w:rsidR="5CEC1E12" w:rsidRPr="56D00486">
        <w:rPr>
          <w:color w:val="000000" w:themeColor="text1"/>
        </w:rPr>
        <w:t xml:space="preserve"> </w:t>
      </w:r>
    </w:p>
    <w:p w14:paraId="6A4AF973" w14:textId="27DE8244" w:rsidR="009664BF" w:rsidRPr="00606B35" w:rsidRDefault="00493548" w:rsidP="56D00486">
      <w:pPr>
        <w:pBdr>
          <w:top w:val="nil"/>
          <w:left w:val="nil"/>
          <w:bottom w:val="nil"/>
          <w:right w:val="nil"/>
          <w:between w:val="nil"/>
        </w:pBdr>
        <w:spacing w:after="120" w:line="240" w:lineRule="auto"/>
        <w:rPr>
          <w:b/>
          <w:bCs/>
          <w:color w:val="000000"/>
          <w:u w:val="single"/>
        </w:rPr>
      </w:pPr>
      <w:r>
        <w:rPr>
          <w:color w:val="000000" w:themeColor="text1"/>
        </w:rPr>
        <w:t>In some cases, side effects may</w:t>
      </w:r>
      <w:r w:rsidR="003F4B4C">
        <w:rPr>
          <w:color w:val="000000" w:themeColor="text1"/>
        </w:rPr>
        <w:t xml:space="preserve"> </w:t>
      </w:r>
      <w:r w:rsidR="00C8551F">
        <w:rPr>
          <w:color w:val="000000" w:themeColor="text1"/>
        </w:rPr>
        <w:t xml:space="preserve">cause a client </w:t>
      </w:r>
      <w:r>
        <w:rPr>
          <w:color w:val="000000" w:themeColor="text1"/>
        </w:rPr>
        <w:t xml:space="preserve">to discontinue </w:t>
      </w:r>
      <w:r w:rsidR="00B7182E">
        <w:rPr>
          <w:color w:val="000000" w:themeColor="text1"/>
        </w:rPr>
        <w:t>PrEP us</w:t>
      </w:r>
      <w:r w:rsidR="00E53945">
        <w:rPr>
          <w:color w:val="000000" w:themeColor="text1"/>
        </w:rPr>
        <w:t>e</w:t>
      </w:r>
      <w:r w:rsidR="0007236B">
        <w:rPr>
          <w:color w:val="000000" w:themeColor="text1"/>
        </w:rPr>
        <w:t xml:space="preserve">. </w:t>
      </w:r>
      <w:r w:rsidR="7B941D68" w:rsidRPr="56D00486">
        <w:rPr>
          <w:color w:val="000000" w:themeColor="text1"/>
        </w:rPr>
        <w:t xml:space="preserve">If PrEP </w:t>
      </w:r>
      <w:r w:rsidR="6210AF32" w:rsidRPr="56D00486">
        <w:rPr>
          <w:color w:val="000000" w:themeColor="text1"/>
        </w:rPr>
        <w:t>is</w:t>
      </w:r>
      <w:r w:rsidR="7B941D68" w:rsidRPr="56D00486">
        <w:rPr>
          <w:color w:val="000000" w:themeColor="text1"/>
        </w:rPr>
        <w:t xml:space="preserve"> discontinued, record the outcome in the PrEP register.</w:t>
      </w:r>
      <w:r w:rsidR="4E484795" w:rsidRPr="56D00486">
        <w:rPr>
          <w:color w:val="000000" w:themeColor="text1"/>
        </w:rPr>
        <w:t xml:space="preserve"> Side effects and potential adverse drug reactions for each method are found in the overviews of each method above.</w:t>
      </w:r>
    </w:p>
    <w:p w14:paraId="405466F3" w14:textId="5CED70B4" w:rsidR="00AF2682" w:rsidRPr="00606B35" w:rsidRDefault="00AF2682" w:rsidP="00DD508F">
      <w:pPr>
        <w:pStyle w:val="Heading2"/>
        <w:spacing w:before="0" w:after="120" w:line="240" w:lineRule="auto"/>
        <w:rPr>
          <w:rFonts w:asciiTheme="minorHAnsi" w:hAnsiTheme="minorHAnsi" w:cstheme="minorBidi"/>
        </w:rPr>
      </w:pPr>
      <w:bookmarkStart w:id="72" w:name="_Toc80690935"/>
      <w:bookmarkStart w:id="73" w:name="_Toc182989139"/>
      <w:r w:rsidRPr="00606B35">
        <w:rPr>
          <w:rFonts w:asciiTheme="minorHAnsi" w:hAnsiTheme="minorHAnsi" w:cstheme="minorBidi"/>
        </w:rPr>
        <w:t>Pregnancy and Breastfeeding</w:t>
      </w:r>
      <w:bookmarkEnd w:id="72"/>
      <w:bookmarkEnd w:id="73"/>
    </w:p>
    <w:p w14:paraId="00FE60F5" w14:textId="00135CE4" w:rsidR="00AF2682" w:rsidRPr="00606B35" w:rsidRDefault="00CE0A2F" w:rsidP="00DD508F">
      <w:pPr>
        <w:spacing w:after="120" w:line="240" w:lineRule="auto"/>
      </w:pPr>
      <w:r w:rsidRPr="00606B35">
        <w:t xml:space="preserve">Given </w:t>
      </w:r>
      <w:r w:rsidR="00B36E96" w:rsidRPr="00606B35">
        <w:t>the</w:t>
      </w:r>
      <w:r w:rsidRPr="00606B35">
        <w:t xml:space="preserve"> increased likelihood of HIV acquisition during pregnancy and the postnatal period, as well as reassuring safety data, PrEP use is a reasonable option for people who are pregnant or breastfeeding. </w:t>
      </w:r>
      <w:r w:rsidR="00577FD3" w:rsidRPr="00606B35">
        <w:t>There is no safety-related rationale for disallowing or discontinuing oral PrEP use during pregnancy and breastfeeding</w:t>
      </w:r>
      <w:r w:rsidR="00F93CE6" w:rsidRPr="00606B35">
        <w:t>.</w:t>
      </w:r>
    </w:p>
    <w:p w14:paraId="04FB12C9" w14:textId="4C65221B" w:rsidR="00AF2682" w:rsidRPr="00796CF2" w:rsidRDefault="009C0027" w:rsidP="00DD508F">
      <w:pPr>
        <w:spacing w:after="120" w:line="240" w:lineRule="auto"/>
      </w:pPr>
      <w:r w:rsidRPr="00614F01">
        <w:t xml:space="preserve">Safety studies of </w:t>
      </w:r>
      <w:r w:rsidR="00C66A0F">
        <w:t xml:space="preserve">the </w:t>
      </w:r>
      <w:r w:rsidRPr="00614F01">
        <w:t>PrEP ring use during pregnancy have shown a favorable safety profile among pregnant women and their infants; there is no evidence of negative impact on pregnancy or infant outcomes.</w:t>
      </w:r>
      <w:r>
        <w:rPr>
          <w:rStyle w:val="FootnoteReference"/>
        </w:rPr>
        <w:footnoteReference w:id="36"/>
      </w:r>
      <w:r w:rsidR="00CA6161" w:rsidRPr="0008528D">
        <w:rPr>
          <w:vertAlign w:val="superscript"/>
        </w:rPr>
        <w:t>,</w:t>
      </w:r>
      <w:r>
        <w:rPr>
          <w:rStyle w:val="FootnoteReference"/>
        </w:rPr>
        <w:footnoteReference w:id="37"/>
      </w:r>
      <w:r w:rsidR="00CA6161" w:rsidRPr="0008528D">
        <w:rPr>
          <w:vertAlign w:val="superscript"/>
        </w:rPr>
        <w:t>,</w:t>
      </w:r>
      <w:r>
        <w:rPr>
          <w:rStyle w:val="FootnoteReference"/>
        </w:rPr>
        <w:footnoteReference w:id="38"/>
      </w:r>
      <w:r w:rsidRPr="00614F01">
        <w:t xml:space="preserve"> Among those who used the PrEP ring during pregnancy, no differences in preterm labor, stillbirths, or pregnancy complications were seen during randomized control trials. </w:t>
      </w:r>
      <w:r w:rsidR="00AF2682" w:rsidRPr="00796CF2">
        <w:t xml:space="preserve">Providers and clients should weigh </w:t>
      </w:r>
      <w:r w:rsidR="00E64D7E" w:rsidRPr="00796CF2">
        <w:t>client</w:t>
      </w:r>
      <w:r w:rsidR="00AF2682" w:rsidRPr="00796CF2">
        <w:t xml:space="preserve"> preferences and ability to effectively use HIV prevention </w:t>
      </w:r>
      <w:r w:rsidR="004609D5" w:rsidRPr="00796CF2">
        <w:t>methods</w:t>
      </w:r>
      <w:r w:rsidR="00AF2682" w:rsidRPr="00796CF2">
        <w:t xml:space="preserve"> when considering whether the ring or another HIV prevention method, such as oral PrEP, should be used during pregnancy.</w:t>
      </w:r>
      <w:r w:rsidR="00D83AD9">
        <w:t xml:space="preserve"> </w:t>
      </w:r>
      <w:r w:rsidR="00DC52FD">
        <w:t>The</w:t>
      </w:r>
      <w:r w:rsidR="00D83AD9">
        <w:t xml:space="preserve"> PrEP ring use is not recommended for </w:t>
      </w:r>
      <w:r w:rsidR="00DC52FD">
        <w:t>six</w:t>
      </w:r>
      <w:r w:rsidR="00D83AD9">
        <w:t xml:space="preserve"> weeks postpartum. </w:t>
      </w:r>
    </w:p>
    <w:p w14:paraId="07DDCA78" w14:textId="04980EE9" w:rsidR="00AF2682" w:rsidRPr="00606B35" w:rsidRDefault="000607E3" w:rsidP="00DD508F">
      <w:pPr>
        <w:spacing w:after="120" w:line="240" w:lineRule="auto"/>
      </w:pPr>
      <w:r w:rsidRPr="00614F01">
        <w:t xml:space="preserve">Similarly, studies of </w:t>
      </w:r>
      <w:r w:rsidR="00DC52FD">
        <w:t xml:space="preserve">the </w:t>
      </w:r>
      <w:r w:rsidRPr="00614F01">
        <w:t>PrEP ring and oral PrEP use during breastfeeding found favorable safety profiles among breastfeeding mother-infant pairs and low drug levels in breast milk and infant samples</w:t>
      </w:r>
      <w:r>
        <w:t xml:space="preserve">. </w:t>
      </w:r>
      <w:r w:rsidR="00AF2682" w:rsidRPr="00796CF2">
        <w:t xml:space="preserve">Dapivirine has been shown to be excreted at very low levels in human milk in one clinical study conducted among 16 mothers who </w:t>
      </w:r>
      <w:r w:rsidR="000F7B5D" w:rsidRPr="00796CF2">
        <w:t xml:space="preserve">received </w:t>
      </w:r>
      <w:r w:rsidR="00035DE7" w:rsidRPr="00796CF2">
        <w:t>HIV-1 negative</w:t>
      </w:r>
      <w:r w:rsidR="000F7B5D" w:rsidRPr="00796CF2">
        <w:t xml:space="preserve"> test results and were</w:t>
      </w:r>
      <w:r w:rsidR="00AF2682" w:rsidRPr="00796CF2">
        <w:t xml:space="preserve"> lactating but not breastfeeding. Because milk concentrations remained low (&lt;1420 </w:t>
      </w:r>
      <w:proofErr w:type="spellStart"/>
      <w:r w:rsidR="00AF2682" w:rsidRPr="00796CF2">
        <w:t>pg</w:t>
      </w:r>
      <w:proofErr w:type="spellEnd"/>
      <w:r w:rsidR="00AF2682" w:rsidRPr="00796CF2">
        <w:t xml:space="preserve">/ml), infant exposure to dapivirine is anticipated to be low (below 1µg/day). </w:t>
      </w:r>
      <w:r w:rsidR="00A10EAB" w:rsidRPr="00796CF2">
        <w:t xml:space="preserve">Results </w:t>
      </w:r>
      <w:r w:rsidR="005570EA" w:rsidRPr="00796CF2">
        <w:t xml:space="preserve">from a recent trial of </w:t>
      </w:r>
      <w:r w:rsidR="003666BA" w:rsidRPr="00796CF2">
        <w:t xml:space="preserve">ring use during breastfeeding </w:t>
      </w:r>
      <w:r w:rsidR="00D30864" w:rsidRPr="00796CF2">
        <w:t xml:space="preserve">showed </w:t>
      </w:r>
      <w:r w:rsidR="009D237D" w:rsidRPr="00796CF2">
        <w:t xml:space="preserve">a favorable safety profile with </w:t>
      </w:r>
      <w:r w:rsidR="00D30864" w:rsidRPr="00796CF2">
        <w:t>low drug transfer to breastmilk</w:t>
      </w:r>
      <w:r w:rsidR="003666BA" w:rsidRPr="00796CF2">
        <w:t>.</w:t>
      </w:r>
      <w:r w:rsidR="009D237D" w:rsidRPr="00796CF2">
        <w:rPr>
          <w:rStyle w:val="FootnoteReference"/>
        </w:rPr>
        <w:footnoteReference w:id="39"/>
      </w:r>
      <w:r w:rsidR="00AF2682" w:rsidRPr="00796CF2">
        <w:t xml:space="preserve"> </w:t>
      </w:r>
      <w:r w:rsidR="00035ABB" w:rsidRPr="00796CF2">
        <w:t xml:space="preserve">At this time, the potential impact of ring use during breastfeeding is not known. When making decisions about HIV prevention methods, providers and clients should consider the known benefits of breastfeeding for mothers and infants and </w:t>
      </w:r>
      <w:r w:rsidR="00D42938" w:rsidRPr="00796CF2">
        <w:t xml:space="preserve">the </w:t>
      </w:r>
      <w:r w:rsidR="00035ABB" w:rsidRPr="00796CF2">
        <w:t>risks associated with human milk substitutes. A shared decision</w:t>
      </w:r>
      <w:r w:rsidR="00D42938" w:rsidRPr="00796CF2">
        <w:t>-</w:t>
      </w:r>
      <w:r w:rsidR="00035ABB" w:rsidRPr="00796CF2">
        <w:t>making process should guide selection of HIV prevention options.</w:t>
      </w:r>
      <w:r w:rsidR="00035ABB" w:rsidRPr="00606B35">
        <w:t xml:space="preserve"> </w:t>
      </w:r>
    </w:p>
    <w:p w14:paraId="5747A975" w14:textId="47303F72" w:rsidR="00827205" w:rsidRDefault="00083691" w:rsidP="00DD508F">
      <w:pPr>
        <w:spacing w:after="120" w:line="240" w:lineRule="auto"/>
        <w:rPr>
          <w:rFonts w:cstheme="minorHAnsi"/>
          <w:bCs/>
        </w:rPr>
      </w:pPr>
      <w:r>
        <w:rPr>
          <w:rFonts w:cstheme="minorHAnsi"/>
          <w:bCs/>
        </w:rPr>
        <w:lastRenderedPageBreak/>
        <w:t>During pregnancy, the ring should be removed if</w:t>
      </w:r>
      <w:r w:rsidR="00D95BF2">
        <w:rPr>
          <w:rFonts w:cstheme="minorHAnsi"/>
          <w:bCs/>
        </w:rPr>
        <w:t xml:space="preserve"> a client experiences active labor at any gestation, vaginal bleeding, spontaneous or therapeutic abortion, suspected or confirmed rupture of amniotic membranes (water breaking), cervi</w:t>
      </w:r>
      <w:r w:rsidR="004D3531">
        <w:rPr>
          <w:rFonts w:cstheme="minorHAnsi"/>
          <w:bCs/>
        </w:rPr>
        <w:t xml:space="preserve">cal cerclage, or suspected or confirmed intrauterine infection. </w:t>
      </w:r>
    </w:p>
    <w:p w14:paraId="2774FF98" w14:textId="1FA7718A" w:rsidR="00CE0C18" w:rsidRDefault="03A87CBF" w:rsidP="00DD508F">
      <w:pPr>
        <w:spacing w:after="120" w:line="240" w:lineRule="auto"/>
      </w:pPr>
      <w:r>
        <w:t xml:space="preserve">Data are </w:t>
      </w:r>
      <w:r w:rsidR="00DA3FD7">
        <w:t xml:space="preserve">emerging </w:t>
      </w:r>
      <w:r w:rsidR="28C639C0">
        <w:t xml:space="preserve">on </w:t>
      </w:r>
      <w:r w:rsidR="006B21C1">
        <w:t xml:space="preserve">the </w:t>
      </w:r>
      <w:r w:rsidR="28C639C0">
        <w:t xml:space="preserve">use of CAB PrEP during pregnancy and breastfeeding. </w:t>
      </w:r>
      <w:r w:rsidR="00634656">
        <w:t xml:space="preserve">Dolutegravir, a medication in the same drug class as cabotegravir, was </w:t>
      </w:r>
      <w:r w:rsidR="00D94415">
        <w:t>found safe to use during pregnancy</w:t>
      </w:r>
      <w:r w:rsidR="7F1782BE">
        <w:t xml:space="preserve">, </w:t>
      </w:r>
      <w:r w:rsidR="00D94415">
        <w:t>and</w:t>
      </w:r>
      <w:r w:rsidR="7F1782BE">
        <w:t xml:space="preserve"> the very limited data available from a small number of women </w:t>
      </w:r>
      <w:r w:rsidR="5A427955">
        <w:t xml:space="preserve">who became pregnant in clinical trials suggest CAB PrEP may be safe during pregnancy and breastfeeding. </w:t>
      </w:r>
      <w:r w:rsidR="003A63DA">
        <w:t xml:space="preserve">Recent evidence </w:t>
      </w:r>
      <w:r w:rsidR="00EF5815">
        <w:t xml:space="preserve">from a study with </w:t>
      </w:r>
      <w:r w:rsidR="00A03CAE">
        <w:t>m</w:t>
      </w:r>
      <w:r w:rsidR="00EF5815">
        <w:t>or</w:t>
      </w:r>
      <w:r w:rsidR="00A03CAE">
        <w:t>e than</w:t>
      </w:r>
      <w:r w:rsidR="00EF5815">
        <w:t xml:space="preserve"> 300 individuals who became pregnant while using CAB PrEP </w:t>
      </w:r>
      <w:r w:rsidR="00E87D38">
        <w:t xml:space="preserve">and stayed on the regimen </w:t>
      </w:r>
      <w:r w:rsidR="003A63DA">
        <w:t xml:space="preserve">shows CAB PrEP is well tolerated in pregnant women, with maternal and </w:t>
      </w:r>
      <w:r w:rsidR="009B164A">
        <w:t xml:space="preserve">pregnancy </w:t>
      </w:r>
      <w:r w:rsidR="003A63DA">
        <w:t>outcomes</w:t>
      </w:r>
      <w:r w:rsidR="009B164A">
        <w:t xml:space="preserve"> (infant growth, birth weight, median gestational age)</w:t>
      </w:r>
      <w:r w:rsidR="006219C4">
        <w:t xml:space="preserve"> consistent</w:t>
      </w:r>
      <w:r w:rsidR="003A63DA">
        <w:t xml:space="preserve"> across study participants and </w:t>
      </w:r>
      <w:r w:rsidR="006219C4">
        <w:t xml:space="preserve">with </w:t>
      </w:r>
      <w:r w:rsidR="00A162CE">
        <w:t>real-world</w:t>
      </w:r>
      <w:r w:rsidR="003A63DA">
        <w:t xml:space="preserve"> background rates.</w:t>
      </w:r>
      <w:r w:rsidR="003A63DA">
        <w:rPr>
          <w:rStyle w:val="FootnoteReference"/>
        </w:rPr>
        <w:footnoteReference w:id="40"/>
      </w:r>
      <w:r w:rsidR="003A63DA">
        <w:t xml:space="preserve"> </w:t>
      </w:r>
      <w:r w:rsidR="738B7E79">
        <w:t xml:space="preserve">There </w:t>
      </w:r>
      <w:r w:rsidR="00EC7F36">
        <w:t>are</w:t>
      </w:r>
      <w:r w:rsidR="738B7E79">
        <w:t xml:space="preserve"> no data </w:t>
      </w:r>
      <w:r w:rsidR="00A332D9">
        <w:t xml:space="preserve">yet </w:t>
      </w:r>
      <w:r w:rsidR="00EC7F36">
        <w:t>on whether</w:t>
      </w:r>
      <w:r w:rsidR="738B7E79">
        <w:t xml:space="preserve"> cabotegravir </w:t>
      </w:r>
      <w:r w:rsidR="6B80A678">
        <w:t xml:space="preserve">is present in human milk, </w:t>
      </w:r>
      <w:r w:rsidR="006219C4">
        <w:t xml:space="preserve">affects </w:t>
      </w:r>
      <w:r w:rsidR="6B80A678">
        <w:t xml:space="preserve">human milk production, or </w:t>
      </w:r>
      <w:r w:rsidR="00522C0C">
        <w:t>affe</w:t>
      </w:r>
      <w:r w:rsidR="1EDEB893">
        <w:t xml:space="preserve">cts breastfeeding infants </w:t>
      </w:r>
      <w:r w:rsidR="00B67EE4">
        <w:t>of</w:t>
      </w:r>
      <w:r w:rsidR="6B80A678">
        <w:t xml:space="preserve"> </w:t>
      </w:r>
      <w:r w:rsidR="2C8EBF68">
        <w:t xml:space="preserve">clients using </w:t>
      </w:r>
      <w:r w:rsidR="6B80A678">
        <w:t>CAB PrEP</w:t>
      </w:r>
      <w:r w:rsidR="1EDEB893">
        <w:t xml:space="preserve">. </w:t>
      </w:r>
    </w:p>
    <w:p w14:paraId="48AF5730" w14:textId="2365350E" w:rsidR="00DE301F" w:rsidRPr="00DE301F" w:rsidRDefault="00CE0C18" w:rsidP="00DD508F">
      <w:pPr>
        <w:spacing w:after="120" w:line="240" w:lineRule="auto"/>
      </w:pPr>
      <w:r w:rsidRPr="0294A27B">
        <w:t xml:space="preserve">Due </w:t>
      </w:r>
      <w:r w:rsidR="00F400FF" w:rsidRPr="0294A27B">
        <w:t xml:space="preserve">to </w:t>
      </w:r>
      <w:r w:rsidRPr="0294A27B">
        <w:t xml:space="preserve">the </w:t>
      </w:r>
      <w:r w:rsidR="00F400FF" w:rsidRPr="0294A27B">
        <w:t>potential for adverse reactions and residual concentration</w:t>
      </w:r>
      <w:r w:rsidR="00913794">
        <w:t>s of cabotegravir</w:t>
      </w:r>
      <w:r w:rsidR="00F400FF" w:rsidRPr="0294A27B">
        <w:t xml:space="preserve"> in systemic circulation for </w:t>
      </w:r>
      <w:r w:rsidR="00913794">
        <w:t>12</w:t>
      </w:r>
      <w:r w:rsidR="00F400FF" w:rsidRPr="0294A27B">
        <w:t xml:space="preserve"> months or longer </w:t>
      </w:r>
      <w:r w:rsidR="00913794">
        <w:t>a</w:t>
      </w:r>
      <w:r w:rsidR="00F400FF" w:rsidRPr="0294A27B">
        <w:t>f</w:t>
      </w:r>
      <w:r w:rsidR="00913794">
        <w:t>ter</w:t>
      </w:r>
      <w:r w:rsidR="00F400FF" w:rsidRPr="0294A27B">
        <w:t xml:space="preserve"> CAB PrEP</w:t>
      </w:r>
      <w:r w:rsidR="00913794">
        <w:t xml:space="preserve"> injections are discontinued</w:t>
      </w:r>
      <w:r w:rsidRPr="0294A27B">
        <w:t xml:space="preserve">, clients who </w:t>
      </w:r>
      <w:r w:rsidR="000E0DC7" w:rsidRPr="0294A27B">
        <w:t xml:space="preserve">are or </w:t>
      </w:r>
      <w:r w:rsidRPr="0294A27B">
        <w:t>may become pregnant or</w:t>
      </w:r>
      <w:r w:rsidR="000E0DC7" w:rsidRPr="0294A27B">
        <w:t xml:space="preserve"> are breastfeeding, especially during the tail period</w:t>
      </w:r>
      <w:r w:rsidR="00EB0C4F" w:rsidRPr="0294A27B">
        <w:t xml:space="preserve">, should be counseled on </w:t>
      </w:r>
      <w:r w:rsidR="00B9035E" w:rsidRPr="0294A27B">
        <w:t>the risks and benefits of using CAB</w:t>
      </w:r>
      <w:r w:rsidR="009E3621">
        <w:t xml:space="preserve"> PrEP. Available data on the pharmacokinetics of CAB PrEP during pregnancy suggest </w:t>
      </w:r>
      <w:r w:rsidR="007C4B3F">
        <w:t>CAB PrEP concentrations decrease over time during pregnancy</w:t>
      </w:r>
      <w:r w:rsidR="00415548">
        <w:t xml:space="preserve"> </w:t>
      </w:r>
      <w:r w:rsidR="00970AFA">
        <w:t xml:space="preserve">but remain </w:t>
      </w:r>
      <w:r w:rsidR="00C53552">
        <w:t xml:space="preserve">above the minimum level needed for </w:t>
      </w:r>
      <w:r w:rsidR="00235CB0">
        <w:t>protection,</w:t>
      </w:r>
      <w:r w:rsidR="00C53552">
        <w:t xml:space="preserve"> so</w:t>
      </w:r>
      <w:r w:rsidR="00415548">
        <w:t xml:space="preserve"> dose modifications are not likely need</w:t>
      </w:r>
      <w:r w:rsidR="00F70928">
        <w:t>ed</w:t>
      </w:r>
      <w:r w:rsidR="00FC1C14">
        <w:t>.</w:t>
      </w:r>
      <w:r w:rsidR="009C1710">
        <w:t>; CAB PrEP concentrations were comparable in pre-, during, and post-pregnancy</w:t>
      </w:r>
      <w:r w:rsidR="00415548">
        <w:t>.</w:t>
      </w:r>
      <w:r w:rsidR="00415548">
        <w:rPr>
          <w:rStyle w:val="FootnoteReference"/>
        </w:rPr>
        <w:footnoteReference w:id="41"/>
      </w:r>
      <w:r w:rsidR="009C1710">
        <w:t xml:space="preserve"> Additional analysis is </w:t>
      </w:r>
      <w:r w:rsidR="00787073">
        <w:t>required,</w:t>
      </w:r>
      <w:r w:rsidR="009C1710">
        <w:t xml:space="preserve"> and research is ongoing. </w:t>
      </w:r>
      <w:r w:rsidR="00415548">
        <w:t xml:space="preserve"> </w:t>
      </w:r>
    </w:p>
    <w:p w14:paraId="41CFDD29" w14:textId="03C026FF" w:rsidR="00353137" w:rsidRPr="00606B35" w:rsidRDefault="00353137" w:rsidP="00DD508F">
      <w:pPr>
        <w:pStyle w:val="Heading1"/>
        <w:spacing w:before="0" w:after="120" w:line="240" w:lineRule="auto"/>
        <w:rPr>
          <w:rFonts w:asciiTheme="minorHAnsi" w:hAnsiTheme="minorHAnsi" w:cstheme="minorBidi"/>
        </w:rPr>
      </w:pPr>
      <w:bookmarkStart w:id="74" w:name="_Toc182989140"/>
      <w:r w:rsidRPr="0294A27B">
        <w:rPr>
          <w:rFonts w:asciiTheme="minorHAnsi" w:hAnsiTheme="minorHAnsi" w:cstheme="minorBidi"/>
        </w:rPr>
        <w:t xml:space="preserve">Who Can Deliver PrEP and </w:t>
      </w:r>
      <w:r w:rsidR="005644CF" w:rsidRPr="0294A27B">
        <w:rPr>
          <w:rFonts w:asciiTheme="minorHAnsi" w:hAnsiTheme="minorHAnsi" w:cstheme="minorBidi"/>
        </w:rPr>
        <w:t>Where?</w:t>
      </w:r>
      <w:bookmarkEnd w:id="74"/>
    </w:p>
    <w:p w14:paraId="5E6451B3" w14:textId="4B989DA7" w:rsidR="00353137" w:rsidRDefault="4404BEDE" w:rsidP="00DD508F">
      <w:pPr>
        <w:spacing w:after="120" w:line="240" w:lineRule="auto"/>
        <w:rPr>
          <w:color w:val="000000"/>
        </w:rPr>
      </w:pPr>
      <w:r w:rsidRPr="56D00486">
        <w:rPr>
          <w:color w:val="000000" w:themeColor="text1"/>
        </w:rPr>
        <w:t xml:space="preserve">PrEP implementation can be integrated in any setting with appropriately trained individuals who have been </w:t>
      </w:r>
      <w:r w:rsidR="00EB09B5" w:rsidRPr="56D00486">
        <w:rPr>
          <w:color w:val="000000" w:themeColor="text1"/>
        </w:rPr>
        <w:t>authorized</w:t>
      </w:r>
      <w:r w:rsidRPr="56D00486">
        <w:rPr>
          <w:color w:val="000000" w:themeColor="text1"/>
        </w:rPr>
        <w:t xml:space="preserve"> to </w:t>
      </w:r>
      <w:r w:rsidR="649338EF" w:rsidRPr="56D00486">
        <w:rPr>
          <w:color w:val="000000" w:themeColor="text1"/>
        </w:rPr>
        <w:t>provide components of PrEP initiation and</w:t>
      </w:r>
      <w:r w:rsidR="52BDB2EB" w:rsidRPr="56D00486">
        <w:rPr>
          <w:color w:val="000000" w:themeColor="text1"/>
        </w:rPr>
        <w:t>/or</w:t>
      </w:r>
      <w:r w:rsidR="649338EF" w:rsidRPr="56D00486">
        <w:rPr>
          <w:color w:val="000000" w:themeColor="text1"/>
        </w:rPr>
        <w:t xml:space="preserve"> follow-up visits</w:t>
      </w:r>
      <w:r w:rsidR="225FF788" w:rsidRPr="56D00486">
        <w:rPr>
          <w:color w:val="000000" w:themeColor="text1"/>
        </w:rPr>
        <w:t xml:space="preserve"> according to national guidelines. </w:t>
      </w:r>
      <w:r w:rsidRPr="56D00486">
        <w:rPr>
          <w:color w:val="000000" w:themeColor="text1"/>
        </w:rPr>
        <w:t xml:space="preserve">It is important that </w:t>
      </w:r>
      <w:r w:rsidR="538FDE16" w:rsidRPr="56D00486">
        <w:rPr>
          <w:color w:val="000000" w:themeColor="text1"/>
        </w:rPr>
        <w:t xml:space="preserve">places where PrEP is provided </w:t>
      </w:r>
      <w:r w:rsidRPr="56D00486">
        <w:rPr>
          <w:color w:val="000000" w:themeColor="text1"/>
        </w:rPr>
        <w:t xml:space="preserve">also have systems and tools in place for </w:t>
      </w:r>
      <w:r w:rsidR="1CBF53CD" w:rsidRPr="56D00486">
        <w:rPr>
          <w:color w:val="000000" w:themeColor="text1"/>
        </w:rPr>
        <w:t xml:space="preserve">completing all </w:t>
      </w:r>
      <w:r w:rsidR="0007105D">
        <w:rPr>
          <w:color w:val="000000" w:themeColor="text1"/>
        </w:rPr>
        <w:t xml:space="preserve">the </w:t>
      </w:r>
      <w:r w:rsidR="1CBF53CD" w:rsidRPr="56D00486">
        <w:rPr>
          <w:color w:val="000000" w:themeColor="text1"/>
        </w:rPr>
        <w:t xml:space="preserve">necessary steps of PrEP initiation and follow-up and </w:t>
      </w:r>
      <w:r w:rsidRPr="56D00486">
        <w:rPr>
          <w:color w:val="000000" w:themeColor="text1"/>
        </w:rPr>
        <w:t>the monitoring, documentation, and reporting of PrEP use.</w:t>
      </w:r>
    </w:p>
    <w:tbl>
      <w:tblPr>
        <w:tblW w:w="0" w:type="auto"/>
        <w:tblLook w:val="04A0" w:firstRow="1" w:lastRow="0" w:firstColumn="1" w:lastColumn="0" w:noHBand="0" w:noVBand="1"/>
      </w:tblPr>
      <w:tblGrid>
        <w:gridCol w:w="10456"/>
      </w:tblGrid>
      <w:tr w:rsidR="005F7CDC" w:rsidRPr="00606B35" w14:paraId="5890B4C7" w14:textId="77777777" w:rsidTr="00611E30">
        <w:tc>
          <w:tcPr>
            <w:tcW w:w="10456" w:type="dxa"/>
            <w:shd w:val="clear" w:color="auto" w:fill="C5E0B3" w:themeFill="accent6" w:themeFillTint="66"/>
          </w:tcPr>
          <w:p w14:paraId="621EF458" w14:textId="5D7DA603" w:rsidR="005F7CDC" w:rsidRPr="00606B35" w:rsidRDefault="005F7CDC" w:rsidP="002D49E1">
            <w:pPr>
              <w:spacing w:after="120"/>
              <w:rPr>
                <w:color w:val="000000"/>
              </w:rPr>
            </w:pPr>
            <w:r w:rsidRPr="0294A27B">
              <w:rPr>
                <w:b/>
              </w:rPr>
              <w:t>For consideration:</w:t>
            </w:r>
            <w:r w:rsidRPr="0294A27B">
              <w:t xml:space="preserve"> </w:t>
            </w:r>
            <w:r w:rsidRPr="0294A27B">
              <w:rPr>
                <w:color w:val="000000" w:themeColor="text1"/>
              </w:rPr>
              <w:t xml:space="preserve">Because the roles and responsibilities of different cadres </w:t>
            </w:r>
            <w:r w:rsidR="007E64F1" w:rsidRPr="0294A27B">
              <w:rPr>
                <w:color w:val="000000" w:themeColor="text1"/>
              </w:rPr>
              <w:t>of health</w:t>
            </w:r>
            <w:r w:rsidR="008D370A" w:rsidRPr="0294A27B">
              <w:rPr>
                <w:color w:val="000000" w:themeColor="text1"/>
              </w:rPr>
              <w:t xml:space="preserve"> </w:t>
            </w:r>
            <w:r w:rsidR="007E64F1" w:rsidRPr="0294A27B">
              <w:rPr>
                <w:color w:val="000000" w:themeColor="text1"/>
              </w:rPr>
              <w:t xml:space="preserve">care workers </w:t>
            </w:r>
            <w:r w:rsidRPr="0294A27B">
              <w:rPr>
                <w:color w:val="000000" w:themeColor="text1"/>
              </w:rPr>
              <w:t>can change over time, it may be beneficial to not specify which cadres are involved in specific aspects of PrEP service delivery. This allows for task-sharing among nonclinical (or less specialized) cadres to occur and support</w:t>
            </w:r>
            <w:r w:rsidR="00E27B2B">
              <w:rPr>
                <w:color w:val="000000" w:themeColor="text1"/>
              </w:rPr>
              <w:t>s</w:t>
            </w:r>
            <w:r w:rsidRPr="0294A27B">
              <w:rPr>
                <w:color w:val="000000" w:themeColor="text1"/>
              </w:rPr>
              <w:t xml:space="preserve"> further movement of PrEP from health facilities into the community</w:t>
            </w:r>
            <w:r w:rsidR="004C33D3" w:rsidRPr="0294A27B">
              <w:rPr>
                <w:color w:val="000000" w:themeColor="text1"/>
              </w:rPr>
              <w:t xml:space="preserve">. Alternatively, in some cases it </w:t>
            </w:r>
            <w:r w:rsidR="00CF6D7E" w:rsidRPr="0294A27B">
              <w:rPr>
                <w:color w:val="000000" w:themeColor="text1"/>
              </w:rPr>
              <w:t>could</w:t>
            </w:r>
            <w:r w:rsidR="004C33D3" w:rsidRPr="0294A27B">
              <w:rPr>
                <w:color w:val="000000" w:themeColor="text1"/>
              </w:rPr>
              <w:t xml:space="preserve"> be useful to specify certain providing groups, </w:t>
            </w:r>
            <w:r w:rsidR="00E27B2B">
              <w:rPr>
                <w:color w:val="000000" w:themeColor="text1"/>
              </w:rPr>
              <w:t>such as</w:t>
            </w:r>
            <w:r w:rsidR="004C33D3" w:rsidRPr="0294A27B">
              <w:rPr>
                <w:color w:val="000000" w:themeColor="text1"/>
              </w:rPr>
              <w:t xml:space="preserve"> peer providers, whe</w:t>
            </w:r>
            <w:r w:rsidR="005C2A52" w:rsidRPr="0294A27B">
              <w:rPr>
                <w:color w:val="000000" w:themeColor="text1"/>
              </w:rPr>
              <w:t>re the type of provider is critical to client acceptability of PrEP.</w:t>
            </w:r>
            <w:r w:rsidR="00DC3E4B" w:rsidRPr="0294A27B">
              <w:rPr>
                <w:color w:val="000000" w:themeColor="text1"/>
              </w:rPr>
              <w:t xml:space="preserve"> </w:t>
            </w:r>
            <w:r w:rsidRPr="0294A27B">
              <w:rPr>
                <w:color w:val="000000" w:themeColor="text1"/>
              </w:rPr>
              <w:t xml:space="preserve">Likewise, it may be beneficial not to include an exhaustive list of </w:t>
            </w:r>
            <w:r w:rsidR="00F46FA4" w:rsidRPr="0294A27B">
              <w:rPr>
                <w:color w:val="000000" w:themeColor="text1"/>
              </w:rPr>
              <w:t>possible</w:t>
            </w:r>
            <w:r w:rsidRPr="0294A27B">
              <w:rPr>
                <w:color w:val="000000" w:themeColor="text1"/>
              </w:rPr>
              <w:t xml:space="preserve"> </w:t>
            </w:r>
            <w:r w:rsidR="00762039" w:rsidRPr="0294A27B">
              <w:rPr>
                <w:color w:val="000000" w:themeColor="text1"/>
              </w:rPr>
              <w:t xml:space="preserve">PrEP </w:t>
            </w:r>
            <w:r w:rsidRPr="0294A27B">
              <w:rPr>
                <w:color w:val="000000" w:themeColor="text1"/>
              </w:rPr>
              <w:t>service delivery locations in guidelines to avoid limiting programmatic expansion and differentiated service delivery. Some service delivery locations may include:</w:t>
            </w:r>
            <w:r w:rsidR="007E64F1" w:rsidRPr="0294A27B">
              <w:rPr>
                <w:color w:val="000000" w:themeColor="text1"/>
              </w:rPr>
              <w:t xml:space="preserve"> o</w:t>
            </w:r>
            <w:r w:rsidRPr="0294A27B">
              <w:rPr>
                <w:color w:val="000000" w:themeColor="text1"/>
              </w:rPr>
              <w:t>ne-stop</w:t>
            </w:r>
            <w:r w:rsidR="00573589" w:rsidRPr="0294A27B">
              <w:rPr>
                <w:color w:val="000000" w:themeColor="text1"/>
              </w:rPr>
              <w:t xml:space="preserve"> </w:t>
            </w:r>
            <w:r w:rsidRPr="0294A27B">
              <w:rPr>
                <w:color w:val="000000" w:themeColor="text1"/>
              </w:rPr>
              <w:t>shops</w:t>
            </w:r>
            <w:r w:rsidR="00E14CBB" w:rsidRPr="0294A27B">
              <w:rPr>
                <w:color w:val="000000" w:themeColor="text1"/>
              </w:rPr>
              <w:t>;</w:t>
            </w:r>
            <w:r w:rsidR="007E64F1" w:rsidRPr="0294A27B">
              <w:rPr>
                <w:color w:val="000000" w:themeColor="text1"/>
              </w:rPr>
              <w:t xml:space="preserve"> d</w:t>
            </w:r>
            <w:r w:rsidRPr="0294A27B">
              <w:rPr>
                <w:color w:val="000000" w:themeColor="text1"/>
              </w:rPr>
              <w:t>rop-in centers (including in community and facility settings)</w:t>
            </w:r>
            <w:r w:rsidR="0091353C" w:rsidRPr="0294A27B">
              <w:rPr>
                <w:color w:val="000000" w:themeColor="text1"/>
              </w:rPr>
              <w:t>;</w:t>
            </w:r>
            <w:r w:rsidR="007E64F1" w:rsidRPr="0294A27B">
              <w:rPr>
                <w:color w:val="000000" w:themeColor="text1"/>
              </w:rPr>
              <w:t xml:space="preserve"> </w:t>
            </w:r>
            <w:r w:rsidRPr="0294A27B">
              <w:rPr>
                <w:color w:val="000000" w:themeColor="text1"/>
              </w:rPr>
              <w:t xml:space="preserve">HIV clinics (for </w:t>
            </w:r>
            <w:r w:rsidR="00147B1F" w:rsidRPr="0294A27B">
              <w:rPr>
                <w:color w:val="000000" w:themeColor="text1"/>
              </w:rPr>
              <w:t>people without HIV who have a partner or partners who do not have</w:t>
            </w:r>
            <w:r w:rsidRPr="0294A27B">
              <w:rPr>
                <w:color w:val="000000" w:themeColor="text1"/>
              </w:rPr>
              <w:t xml:space="preserve"> suppressed viral load</w:t>
            </w:r>
            <w:r w:rsidRPr="0294A27B">
              <w:t xml:space="preserve"> or when</w:t>
            </w:r>
            <w:r w:rsidRPr="0294A27B">
              <w:rPr>
                <w:color w:val="000000" w:themeColor="text1"/>
              </w:rPr>
              <w:t xml:space="preserve"> viral suppression is unknown)</w:t>
            </w:r>
            <w:r w:rsidR="0091353C" w:rsidRPr="0294A27B">
              <w:rPr>
                <w:color w:val="000000" w:themeColor="text1"/>
              </w:rPr>
              <w:t>;</w:t>
            </w:r>
            <w:r w:rsidR="00E66636" w:rsidRPr="0294A27B">
              <w:rPr>
                <w:color w:val="000000" w:themeColor="text1"/>
              </w:rPr>
              <w:t xml:space="preserve"> </w:t>
            </w:r>
            <w:r w:rsidR="00611E30" w:rsidRPr="0294A27B">
              <w:rPr>
                <w:color w:val="000000" w:themeColor="text1"/>
              </w:rPr>
              <w:t>antenatal care</w:t>
            </w:r>
            <w:r w:rsidRPr="0294A27B">
              <w:rPr>
                <w:color w:val="000000" w:themeColor="text1"/>
              </w:rPr>
              <w:t xml:space="preserve"> and maternal, newborn, and child health clinics</w:t>
            </w:r>
            <w:r w:rsidR="0091353C" w:rsidRPr="0294A27B">
              <w:rPr>
                <w:color w:val="000000" w:themeColor="text1"/>
              </w:rPr>
              <w:t>;</w:t>
            </w:r>
            <w:r w:rsidR="00E66636" w:rsidRPr="0294A27B">
              <w:rPr>
                <w:color w:val="000000" w:themeColor="text1"/>
              </w:rPr>
              <w:t xml:space="preserve"> f</w:t>
            </w:r>
            <w:r w:rsidRPr="0294A27B">
              <w:rPr>
                <w:color w:val="000000" w:themeColor="text1"/>
              </w:rPr>
              <w:t>amily planning, reproductive health, and STI clinics</w:t>
            </w:r>
            <w:r w:rsidR="0091353C" w:rsidRPr="0294A27B">
              <w:rPr>
                <w:color w:val="000000" w:themeColor="text1"/>
              </w:rPr>
              <w:t>;</w:t>
            </w:r>
            <w:r w:rsidR="00E66636" w:rsidRPr="0294A27B">
              <w:rPr>
                <w:color w:val="000000" w:themeColor="text1"/>
              </w:rPr>
              <w:t xml:space="preserve"> </w:t>
            </w:r>
            <w:r w:rsidRPr="0294A27B">
              <w:rPr>
                <w:color w:val="000000" w:themeColor="text1"/>
              </w:rPr>
              <w:t>mobile health clinics</w:t>
            </w:r>
            <w:r w:rsidR="0091353C" w:rsidRPr="0294A27B">
              <w:rPr>
                <w:color w:val="000000" w:themeColor="text1"/>
              </w:rPr>
              <w:t>;</w:t>
            </w:r>
            <w:r w:rsidRPr="0294A27B">
              <w:rPr>
                <w:color w:val="000000" w:themeColor="text1"/>
              </w:rPr>
              <w:t xml:space="preserve"> </w:t>
            </w:r>
            <w:r w:rsidR="00E66636" w:rsidRPr="0294A27B">
              <w:rPr>
                <w:color w:val="000000" w:themeColor="text1"/>
              </w:rPr>
              <w:t>c</w:t>
            </w:r>
            <w:r w:rsidRPr="0294A27B">
              <w:rPr>
                <w:color w:val="000000" w:themeColor="text1"/>
              </w:rPr>
              <w:t xml:space="preserve">ommunity settings meeting the criteria for initial client assessment and evaluation </w:t>
            </w:r>
            <w:r w:rsidR="002B429A" w:rsidRPr="0294A27B">
              <w:rPr>
                <w:color w:val="000000" w:themeColor="text1"/>
              </w:rPr>
              <w:t>(</w:t>
            </w:r>
            <w:r w:rsidRPr="0294A27B">
              <w:rPr>
                <w:color w:val="000000" w:themeColor="text1"/>
              </w:rPr>
              <w:t>e.g., integrated prevention centers and youth-friendly outlets</w:t>
            </w:r>
            <w:r w:rsidR="002B429A" w:rsidRPr="0294A27B">
              <w:rPr>
                <w:color w:val="000000" w:themeColor="text1"/>
              </w:rPr>
              <w:t>)</w:t>
            </w:r>
            <w:r w:rsidR="0091353C" w:rsidRPr="0294A27B">
              <w:rPr>
                <w:color w:val="000000" w:themeColor="text1"/>
              </w:rPr>
              <w:t>;</w:t>
            </w:r>
            <w:r w:rsidR="00C958EC" w:rsidRPr="0294A27B">
              <w:rPr>
                <w:color w:val="000000" w:themeColor="text1"/>
              </w:rPr>
              <w:t xml:space="preserve"> </w:t>
            </w:r>
            <w:r w:rsidR="005941DF" w:rsidRPr="0294A27B">
              <w:rPr>
                <w:color w:val="000000" w:themeColor="text1"/>
              </w:rPr>
              <w:t xml:space="preserve">and </w:t>
            </w:r>
            <w:r w:rsidR="00C958EC" w:rsidRPr="0294A27B">
              <w:rPr>
                <w:color w:val="000000" w:themeColor="text1"/>
              </w:rPr>
              <w:t>p</w:t>
            </w:r>
            <w:r w:rsidRPr="0294A27B">
              <w:rPr>
                <w:color w:val="000000" w:themeColor="text1"/>
              </w:rPr>
              <w:t>rimary care settings</w:t>
            </w:r>
            <w:r w:rsidR="005941DF" w:rsidRPr="0294A27B">
              <w:rPr>
                <w:color w:val="000000" w:themeColor="text1"/>
              </w:rPr>
              <w:t>, as well as</w:t>
            </w:r>
            <w:r w:rsidR="00C958EC" w:rsidRPr="0294A27B">
              <w:rPr>
                <w:color w:val="000000" w:themeColor="text1"/>
              </w:rPr>
              <w:t xml:space="preserve"> v</w:t>
            </w:r>
            <w:r w:rsidRPr="0294A27B">
              <w:rPr>
                <w:color w:val="000000" w:themeColor="text1"/>
              </w:rPr>
              <w:t>irtual</w:t>
            </w:r>
            <w:r w:rsidR="00C958EC" w:rsidRPr="0294A27B">
              <w:rPr>
                <w:color w:val="000000" w:themeColor="text1"/>
              </w:rPr>
              <w:t xml:space="preserve"> or blended in-person and virtual model</w:t>
            </w:r>
            <w:r w:rsidR="002D49E1" w:rsidRPr="0294A27B">
              <w:rPr>
                <w:color w:val="000000" w:themeColor="text1"/>
              </w:rPr>
              <w:t>s.</w:t>
            </w:r>
          </w:p>
        </w:tc>
      </w:tr>
    </w:tbl>
    <w:p w14:paraId="3598B0E6" w14:textId="77777777" w:rsidR="005F7CDC" w:rsidRPr="00606B35" w:rsidRDefault="005F7CDC" w:rsidP="00DD508F">
      <w:pPr>
        <w:spacing w:after="120" w:line="240" w:lineRule="auto"/>
        <w:rPr>
          <w:rFonts w:cstheme="minorHAnsi"/>
          <w:color w:val="000000"/>
        </w:rPr>
      </w:pPr>
    </w:p>
    <w:p w14:paraId="37332663" w14:textId="27C69C47" w:rsidR="00AF2682" w:rsidRPr="00606B35" w:rsidRDefault="006362B5" w:rsidP="005B5CF1">
      <w:pPr>
        <w:pStyle w:val="Heading1"/>
      </w:pPr>
      <w:r w:rsidRPr="00606B35">
        <w:br w:type="page"/>
      </w:r>
      <w:bookmarkStart w:id="75" w:name="_Toc182989141"/>
      <w:r w:rsidR="00801B2A" w:rsidRPr="00606B35">
        <w:lastRenderedPageBreak/>
        <w:t>Annex</w:t>
      </w:r>
      <w:bookmarkEnd w:id="75"/>
    </w:p>
    <w:p w14:paraId="1D327489" w14:textId="7CB11C65" w:rsidR="00246F78" w:rsidRPr="00606B35" w:rsidRDefault="41CA7611" w:rsidP="56D00486">
      <w:pPr>
        <w:spacing w:after="120" w:line="240" w:lineRule="auto"/>
        <w:rPr>
          <w:rFonts w:eastAsiaTheme="majorEastAsia"/>
          <w:b/>
          <w:bCs/>
          <w:color w:val="2F5496" w:themeColor="accent1" w:themeShade="BF"/>
          <w:sz w:val="32"/>
          <w:szCs w:val="32"/>
        </w:rPr>
      </w:pPr>
      <w:r w:rsidRPr="56D00486">
        <w:rPr>
          <w:b/>
          <w:bCs/>
        </w:rPr>
        <w:t xml:space="preserve">Table </w:t>
      </w:r>
      <w:r w:rsidR="00E83091">
        <w:rPr>
          <w:b/>
          <w:bCs/>
        </w:rPr>
        <w:t>3</w:t>
      </w:r>
      <w:r w:rsidR="60B93778" w:rsidRPr="56D00486">
        <w:rPr>
          <w:b/>
          <w:bCs/>
        </w:rPr>
        <w:t>.</w:t>
      </w:r>
      <w:r w:rsidRPr="56D00486">
        <w:rPr>
          <w:b/>
          <w:bCs/>
        </w:rPr>
        <w:t xml:space="preserve"> Key Messages</w:t>
      </w:r>
      <w:r w:rsidR="0474BFF7" w:rsidRPr="56D00486">
        <w:rPr>
          <w:b/>
          <w:bCs/>
        </w:rPr>
        <w:t xml:space="preserve"> for Counseling</w:t>
      </w:r>
    </w:p>
    <w:tbl>
      <w:tblPr>
        <w:tblW w:w="10525" w:type="dxa"/>
        <w:tblLook w:val="04A0" w:firstRow="1" w:lastRow="0" w:firstColumn="1" w:lastColumn="0" w:noHBand="0" w:noVBand="1"/>
      </w:tblPr>
      <w:tblGrid>
        <w:gridCol w:w="1843"/>
        <w:gridCol w:w="8682"/>
      </w:tblGrid>
      <w:tr w:rsidR="00A7313F" w:rsidRPr="00606B35" w14:paraId="5C6EB0BF" w14:textId="77777777" w:rsidTr="56D00486">
        <w:trPr>
          <w:cantSplit/>
          <w:tblHeader/>
        </w:trPr>
        <w:tc>
          <w:tcPr>
            <w:tcW w:w="1843" w:type="dxa"/>
            <w:shd w:val="clear" w:color="auto" w:fill="4472C4" w:themeFill="accent1"/>
          </w:tcPr>
          <w:p w14:paraId="33AD6730" w14:textId="3655E721" w:rsidR="00A7313F" w:rsidRPr="00606B35" w:rsidRDefault="00A7313F" w:rsidP="00DD508F">
            <w:pPr>
              <w:spacing w:after="120"/>
              <w:rPr>
                <w:rFonts w:cstheme="minorHAnsi"/>
              </w:rPr>
            </w:pPr>
            <w:r w:rsidRPr="00606B35">
              <w:rPr>
                <w:rFonts w:cstheme="minorHAnsi"/>
                <w:b/>
                <w:color w:val="FFFFFF"/>
              </w:rPr>
              <w:t>Topic</w:t>
            </w:r>
          </w:p>
        </w:tc>
        <w:tc>
          <w:tcPr>
            <w:tcW w:w="8682" w:type="dxa"/>
            <w:shd w:val="clear" w:color="auto" w:fill="4472C4" w:themeFill="accent1"/>
          </w:tcPr>
          <w:p w14:paraId="1E5C77DA" w14:textId="7F645B7B" w:rsidR="00A7313F" w:rsidRPr="00606B35" w:rsidRDefault="00A7313F" w:rsidP="00DD508F">
            <w:pPr>
              <w:spacing w:after="120"/>
              <w:rPr>
                <w:rFonts w:cstheme="minorHAnsi"/>
              </w:rPr>
            </w:pPr>
            <w:r w:rsidRPr="00606B35">
              <w:rPr>
                <w:rFonts w:cstheme="minorHAnsi"/>
                <w:b/>
                <w:color w:val="FFFFFF"/>
              </w:rPr>
              <w:t>Key Messages</w:t>
            </w:r>
            <w:r w:rsidRPr="00606B35">
              <w:rPr>
                <w:rFonts w:cstheme="minorHAnsi"/>
                <w:b/>
                <w:color w:val="FFFFFF"/>
              </w:rPr>
              <w:tab/>
            </w:r>
          </w:p>
        </w:tc>
      </w:tr>
      <w:tr w:rsidR="00246F78" w:rsidRPr="00606B35" w14:paraId="3B7715C5" w14:textId="77777777" w:rsidTr="52CC4247">
        <w:trPr>
          <w:trHeight w:val="593"/>
        </w:trPr>
        <w:tc>
          <w:tcPr>
            <w:tcW w:w="1843" w:type="dxa"/>
            <w:hideMark/>
          </w:tcPr>
          <w:p w14:paraId="1D7F8554" w14:textId="43DE1457" w:rsidR="00246F78" w:rsidRPr="00606B35" w:rsidRDefault="0BCFCAF7" w:rsidP="00DD508F">
            <w:pPr>
              <w:spacing w:after="120"/>
            </w:pPr>
            <w:r>
              <w:t>What is PrEP?</w:t>
            </w:r>
          </w:p>
        </w:tc>
        <w:tc>
          <w:tcPr>
            <w:tcW w:w="8682" w:type="dxa"/>
            <w:hideMark/>
          </w:tcPr>
          <w:p w14:paraId="3CF91A69" w14:textId="2D982F35" w:rsidR="00246F78" w:rsidRPr="00606B35" w:rsidRDefault="00246F78" w:rsidP="00DD508F">
            <w:pPr>
              <w:spacing w:after="120"/>
            </w:pPr>
            <w:r w:rsidRPr="10A43560">
              <w:t>Pr</w:t>
            </w:r>
            <w:r w:rsidR="001E2AF0">
              <w:t>e-exposure prophyla</w:t>
            </w:r>
            <w:r w:rsidR="008346CD">
              <w:t>x</w:t>
            </w:r>
            <w:r w:rsidR="001E2AF0">
              <w:t>is, or Pr</w:t>
            </w:r>
            <w:r w:rsidRPr="10A43560">
              <w:t>EP</w:t>
            </w:r>
            <w:r w:rsidR="001E2AF0">
              <w:t>,</w:t>
            </w:r>
            <w:r w:rsidR="00D57EEC" w:rsidRPr="10A43560">
              <w:t xml:space="preserve"> is the use of antiretroviral drugs </w:t>
            </w:r>
            <w:r w:rsidR="67FA70C8">
              <w:t xml:space="preserve">by people without HIV before a potential exposure </w:t>
            </w:r>
            <w:r w:rsidR="00D57EEC" w:rsidRPr="10A43560">
              <w:t>to prevent HIV</w:t>
            </w:r>
            <w:r w:rsidR="153EEE42">
              <w:t>.</w:t>
            </w:r>
            <w:r w:rsidR="00D57EEC" w:rsidRPr="10A43560">
              <w:t xml:space="preserve"> It</w:t>
            </w:r>
            <w:r w:rsidRPr="10A43560">
              <w:t xml:space="preserve"> is one of several HIV prevention </w:t>
            </w:r>
            <w:r w:rsidR="48D99690" w:rsidRPr="10A43560">
              <w:t>strategies</w:t>
            </w:r>
            <w:r w:rsidRPr="10A43560">
              <w:t xml:space="preserve"> and, where possible, should be used in combination with condoms</w:t>
            </w:r>
            <w:r w:rsidR="00F761D3" w:rsidRPr="10A43560">
              <w:t xml:space="preserve"> and condom-compatible </w:t>
            </w:r>
            <w:r w:rsidR="001655F2" w:rsidRPr="10A43560">
              <w:t>lubricant</w:t>
            </w:r>
            <w:r w:rsidR="0B453045" w:rsidRPr="10A43560">
              <w:t>s</w:t>
            </w:r>
            <w:r w:rsidRPr="10A43560">
              <w:t xml:space="preserve"> and other </w:t>
            </w:r>
            <w:r w:rsidR="00F761D3" w:rsidRPr="10A43560">
              <w:t xml:space="preserve">HIV </w:t>
            </w:r>
            <w:r w:rsidRPr="10A43560">
              <w:t xml:space="preserve">prevention </w:t>
            </w:r>
            <w:r w:rsidR="00FE2BC4" w:rsidRPr="10A43560">
              <w:t>strategies</w:t>
            </w:r>
            <w:r w:rsidRPr="10A43560">
              <w:t>. </w:t>
            </w:r>
            <w:r w:rsidR="00CA71AA" w:rsidRPr="10A43560">
              <w:t>Currently t</w:t>
            </w:r>
            <w:r w:rsidR="00397E84" w:rsidRPr="10A43560">
              <w:t xml:space="preserve">here are </w:t>
            </w:r>
            <w:r w:rsidR="00ED07E1" w:rsidRPr="10A43560">
              <w:t xml:space="preserve">three </w:t>
            </w:r>
            <w:r w:rsidR="00397E84" w:rsidRPr="10A43560">
              <w:t>methods for PrEP</w:t>
            </w:r>
            <w:r w:rsidR="00CA71AA" w:rsidRPr="10A43560">
              <w:t>:</w:t>
            </w:r>
            <w:r w:rsidR="00397E84" w:rsidRPr="10A43560">
              <w:t xml:space="preserve"> pills </w:t>
            </w:r>
            <w:r w:rsidR="00CA71AA" w:rsidRPr="10A43560">
              <w:t xml:space="preserve">that </w:t>
            </w:r>
            <w:r w:rsidR="00FD46E2" w:rsidRPr="10A43560">
              <w:t>are</w:t>
            </w:r>
            <w:r w:rsidR="00397E84" w:rsidRPr="10A43560">
              <w:t xml:space="preserve"> take</w:t>
            </w:r>
            <w:r w:rsidR="00FD46E2" w:rsidRPr="10A43560">
              <w:t>n</w:t>
            </w:r>
            <w:r w:rsidR="00397E84" w:rsidRPr="10A43560">
              <w:t xml:space="preserve"> by </w:t>
            </w:r>
            <w:r w:rsidR="00396333" w:rsidRPr="10A43560">
              <w:t>mouth</w:t>
            </w:r>
            <w:r w:rsidR="00AC3A3C">
              <w:t xml:space="preserve"> (oral PrEP)</w:t>
            </w:r>
            <w:r w:rsidR="00396333" w:rsidRPr="10A43560">
              <w:t>, a</w:t>
            </w:r>
            <w:r w:rsidR="00927746" w:rsidRPr="10A43560">
              <w:t xml:space="preserve"> ring </w:t>
            </w:r>
            <w:r w:rsidR="009651DA" w:rsidRPr="10A43560">
              <w:t>t</w:t>
            </w:r>
            <w:r w:rsidR="00927746" w:rsidRPr="10A43560">
              <w:t>h</w:t>
            </w:r>
            <w:r w:rsidR="009651DA" w:rsidRPr="10A43560">
              <w:t>at</w:t>
            </w:r>
            <w:r w:rsidR="00FE2BC4" w:rsidRPr="10A43560">
              <w:t xml:space="preserve"> is</w:t>
            </w:r>
            <w:r w:rsidR="00927746" w:rsidRPr="10A43560">
              <w:t xml:space="preserve"> inserted into the vagina</w:t>
            </w:r>
            <w:r w:rsidR="00AC3A3C">
              <w:t xml:space="preserve"> (PrEP ring)</w:t>
            </w:r>
            <w:r w:rsidR="00ED07E1" w:rsidRPr="10A43560">
              <w:t>, and a</w:t>
            </w:r>
            <w:r w:rsidR="00236B35" w:rsidRPr="10A43560">
              <w:t xml:space="preserve">n </w:t>
            </w:r>
            <w:r w:rsidR="61F4757C">
              <w:t xml:space="preserve">injection given in the </w:t>
            </w:r>
            <w:r w:rsidR="0223AC9A">
              <w:t xml:space="preserve">buttocks </w:t>
            </w:r>
            <w:r w:rsidR="29F50081">
              <w:t>muscle</w:t>
            </w:r>
            <w:r w:rsidR="00AC3A3C">
              <w:t xml:space="preserve"> (CAB PrEP)</w:t>
            </w:r>
            <w:r w:rsidR="777A0A4A">
              <w:t xml:space="preserve">. </w:t>
            </w:r>
          </w:p>
        </w:tc>
      </w:tr>
      <w:tr w:rsidR="00246F78" w:rsidRPr="00606B35" w14:paraId="414AE8D5" w14:textId="77777777" w:rsidTr="52CC4247">
        <w:trPr>
          <w:trHeight w:val="530"/>
        </w:trPr>
        <w:tc>
          <w:tcPr>
            <w:tcW w:w="1843" w:type="dxa"/>
            <w:hideMark/>
          </w:tcPr>
          <w:p w14:paraId="628B086C" w14:textId="58A16C69" w:rsidR="00246F78" w:rsidRPr="00606B35" w:rsidRDefault="00C71460" w:rsidP="00DD508F">
            <w:pPr>
              <w:spacing w:after="120"/>
            </w:pPr>
            <w:r w:rsidRPr="00606B35">
              <w:t>Effectiveness of PrEP</w:t>
            </w:r>
          </w:p>
        </w:tc>
        <w:tc>
          <w:tcPr>
            <w:tcW w:w="8682" w:type="dxa"/>
            <w:hideMark/>
          </w:tcPr>
          <w:p w14:paraId="73A4118D" w14:textId="0EFD4DB8" w:rsidR="00271F20" w:rsidRDefault="594C1840" w:rsidP="00DD508F">
            <w:pPr>
              <w:spacing w:after="120"/>
            </w:pPr>
            <w:r>
              <w:t>When used as prescribed, oral PrEP is more than 90% effective at preventing HIV acquisition</w:t>
            </w:r>
            <w:r w:rsidR="7C2268CD">
              <w:t>,</w:t>
            </w:r>
            <w:r w:rsidR="4491861D">
              <w:t xml:space="preserve"> </w:t>
            </w:r>
            <w:r>
              <w:t>the PrEP ring is about</w:t>
            </w:r>
            <w:r w:rsidR="63DDF109">
              <w:t xml:space="preserve"> 50% effective</w:t>
            </w:r>
            <w:r w:rsidR="560EEAC2">
              <w:t xml:space="preserve"> (likely more with consistent use</w:t>
            </w:r>
            <w:r w:rsidR="22B45B15">
              <w:t>),</w:t>
            </w:r>
            <w:r w:rsidR="6A17A083">
              <w:t xml:space="preserve"> </w:t>
            </w:r>
            <w:r w:rsidR="7C2268CD">
              <w:t xml:space="preserve">and CAB PrEP </w:t>
            </w:r>
            <w:r w:rsidR="00E810FA">
              <w:t xml:space="preserve">is </w:t>
            </w:r>
            <w:r w:rsidR="6803FF47">
              <w:t>highly</w:t>
            </w:r>
            <w:r w:rsidR="4BC01C34">
              <w:t xml:space="preserve"> effective</w:t>
            </w:r>
            <w:r w:rsidR="4BC01C34" w:rsidRPr="00907939">
              <w:t xml:space="preserve"> </w:t>
            </w:r>
            <w:r w:rsidR="6803FF47" w:rsidRPr="00907939">
              <w:t xml:space="preserve">in cisgender and transgender women and cisgender men. </w:t>
            </w:r>
            <w:r w:rsidR="004B69ED">
              <w:t xml:space="preserve">In recent randomized controlled trials, CAB PrEP was shown to be more effective than oral PrEP, though it is likely due largely to better adherence to CAB PrEP. </w:t>
            </w:r>
          </w:p>
          <w:p w14:paraId="562B2FB1" w14:textId="2156E9EA" w:rsidR="00271F20" w:rsidRDefault="00271F20" w:rsidP="00DD508F">
            <w:pPr>
              <w:spacing w:after="120"/>
            </w:pPr>
            <w:r w:rsidRPr="00606B35">
              <w:t xml:space="preserve">When choosing a </w:t>
            </w:r>
            <w:proofErr w:type="gramStart"/>
            <w:r w:rsidRPr="00606B35">
              <w:t>PrEP</w:t>
            </w:r>
            <w:proofErr w:type="gramEnd"/>
            <w:r w:rsidRPr="00606B35">
              <w:t xml:space="preserve"> method, it is important to consider which method(s) will work best for you to prevent HIV during the types of exposures you anticipate, among other factors.</w:t>
            </w:r>
          </w:p>
          <w:p w14:paraId="51E57A01" w14:textId="1DC578FF" w:rsidR="00271F20" w:rsidRDefault="000F144D" w:rsidP="00271F20">
            <w:pPr>
              <w:spacing w:after="120"/>
              <w:rPr>
                <w:b/>
              </w:rPr>
            </w:pPr>
            <w:r>
              <w:rPr>
                <w:b/>
              </w:rPr>
              <w:t xml:space="preserve">For </w:t>
            </w:r>
            <w:r w:rsidR="00EE3E16">
              <w:rPr>
                <w:b/>
              </w:rPr>
              <w:t>p</w:t>
            </w:r>
            <w:r w:rsidR="008F211D">
              <w:rPr>
                <w:b/>
              </w:rPr>
              <w:t xml:space="preserve">eople AFAB or AMAB taking </w:t>
            </w:r>
            <w:r w:rsidR="00CF785C">
              <w:rPr>
                <w:b/>
              </w:rPr>
              <w:t>exogenous estradiol-based hormones</w:t>
            </w:r>
            <w:r w:rsidR="008F211D">
              <w:rPr>
                <w:b/>
              </w:rPr>
              <w:t xml:space="preserve"> therapy</w:t>
            </w:r>
            <w:r w:rsidR="00271F20" w:rsidRPr="001130DE">
              <w:rPr>
                <w:b/>
              </w:rPr>
              <w:t xml:space="preserve"> </w:t>
            </w:r>
            <w:r w:rsidR="00062CB3">
              <w:rPr>
                <w:b/>
              </w:rPr>
              <w:t>interest</w:t>
            </w:r>
            <w:r w:rsidR="00F84A3C">
              <w:rPr>
                <w:b/>
              </w:rPr>
              <w:t>ed in</w:t>
            </w:r>
            <w:r w:rsidR="00271F20" w:rsidRPr="001130DE">
              <w:rPr>
                <w:b/>
              </w:rPr>
              <w:t xml:space="preserve"> oral PrEP, </w:t>
            </w:r>
            <w:r w:rsidR="00923D11">
              <w:rPr>
                <w:b/>
              </w:rPr>
              <w:t xml:space="preserve">the </w:t>
            </w:r>
            <w:r w:rsidR="00271F20" w:rsidRPr="001130DE">
              <w:rPr>
                <w:b/>
              </w:rPr>
              <w:t>PrEP ring, or CAB PrEP</w:t>
            </w:r>
            <w:r w:rsidR="002746ED">
              <w:rPr>
                <w:b/>
              </w:rPr>
              <w:t>:</w:t>
            </w:r>
          </w:p>
          <w:p w14:paraId="7DF1E243" w14:textId="0428D229" w:rsidR="0E1C627C" w:rsidRDefault="00EE3E16" w:rsidP="5163B5CD">
            <w:pPr>
              <w:spacing w:after="120"/>
            </w:pPr>
            <w:r>
              <w:t>O</w:t>
            </w:r>
            <w:r w:rsidR="0E1C627C">
              <w:t>ral PrEP reduces your chances of getting HIV during all types of exposures to HIV</w:t>
            </w:r>
            <w:r w:rsidR="00A2457F">
              <w:t>.</w:t>
            </w:r>
            <w:r w:rsidR="00F60616">
              <w:t xml:space="preserve"> </w:t>
            </w:r>
            <w:r w:rsidR="0E1C627C">
              <w:t>CAB PrEP work</w:t>
            </w:r>
            <w:r w:rsidR="150DFCED">
              <w:t>s</w:t>
            </w:r>
            <w:r w:rsidR="0E1C627C">
              <w:t xml:space="preserve"> for sexual </w:t>
            </w:r>
            <w:r w:rsidR="2570BE3A">
              <w:t>exposures</w:t>
            </w:r>
            <w:r w:rsidR="002C721E">
              <w:t xml:space="preserve"> and</w:t>
            </w:r>
            <w:r w:rsidR="00FE24D4">
              <w:t>, as a systemic product, may also cover</w:t>
            </w:r>
            <w:r w:rsidR="002C721E">
              <w:t xml:space="preserve"> </w:t>
            </w:r>
            <w:r w:rsidR="00E941A4">
              <w:t>parenteral</w:t>
            </w:r>
            <w:r w:rsidR="00B7622E">
              <w:t xml:space="preserve"> </w:t>
            </w:r>
            <w:r w:rsidR="002C721E">
              <w:t>exposure</w:t>
            </w:r>
            <w:r w:rsidR="00F60616">
              <w:t>s</w:t>
            </w:r>
            <w:r w:rsidR="2570BE3A">
              <w:t>. The</w:t>
            </w:r>
            <w:r w:rsidR="0E1C627C">
              <w:t xml:space="preserve"> </w:t>
            </w:r>
            <w:r w:rsidR="4B5E5126">
              <w:t xml:space="preserve">PrEP </w:t>
            </w:r>
            <w:r w:rsidR="0E1C627C">
              <w:t xml:space="preserve">ring works only for sexual exposures during receptive vaginal sex. </w:t>
            </w:r>
          </w:p>
          <w:p w14:paraId="74134D47" w14:textId="1ED961FF" w:rsidR="00271F20" w:rsidRPr="007010F3" w:rsidRDefault="000F144D" w:rsidP="00DD508F">
            <w:pPr>
              <w:spacing w:after="120"/>
              <w:rPr>
                <w:b/>
              </w:rPr>
            </w:pPr>
            <w:r>
              <w:rPr>
                <w:b/>
              </w:rPr>
              <w:t>For p</w:t>
            </w:r>
            <w:r w:rsidR="00271F20" w:rsidRPr="001130DE">
              <w:rPr>
                <w:b/>
              </w:rPr>
              <w:t xml:space="preserve">eople </w:t>
            </w:r>
            <w:r w:rsidR="008F211D">
              <w:rPr>
                <w:b/>
              </w:rPr>
              <w:t xml:space="preserve">AMAB not taking </w:t>
            </w:r>
            <w:r w:rsidR="00CF785C">
              <w:rPr>
                <w:b/>
              </w:rPr>
              <w:t>exogenous estradiol-based hormones</w:t>
            </w:r>
            <w:r w:rsidR="004B18A0">
              <w:rPr>
                <w:b/>
              </w:rPr>
              <w:t xml:space="preserve"> </w:t>
            </w:r>
            <w:r w:rsidR="00271F20">
              <w:rPr>
                <w:b/>
              </w:rPr>
              <w:t>inte</w:t>
            </w:r>
            <w:r w:rsidR="00062CB3">
              <w:rPr>
                <w:b/>
              </w:rPr>
              <w:t>rested in</w:t>
            </w:r>
            <w:r w:rsidR="00271F20" w:rsidRPr="001130DE">
              <w:rPr>
                <w:b/>
              </w:rPr>
              <w:t xml:space="preserve"> oral PrEP or CAB PrEP</w:t>
            </w:r>
            <w:r w:rsidR="002746ED">
              <w:rPr>
                <w:b/>
              </w:rPr>
              <w:t>:</w:t>
            </w:r>
          </w:p>
          <w:p w14:paraId="02A7F385" w14:textId="7FFCEC7C" w:rsidR="00185607" w:rsidRDefault="00A13398" w:rsidP="00DD508F">
            <w:pPr>
              <w:spacing w:after="120"/>
            </w:pPr>
            <w:r>
              <w:t>O</w:t>
            </w:r>
            <w:r w:rsidR="502BEFCF">
              <w:t>ral PrEP reduces your chances of getting HIV during all types of exposures to HIV</w:t>
            </w:r>
            <w:r w:rsidR="00004CB6">
              <w:t xml:space="preserve">. </w:t>
            </w:r>
            <w:r w:rsidR="514D316F">
              <w:t xml:space="preserve">CAB PrEP </w:t>
            </w:r>
            <w:r w:rsidR="0AE505BD">
              <w:t>work</w:t>
            </w:r>
            <w:r w:rsidR="00F5672B">
              <w:t xml:space="preserve">s </w:t>
            </w:r>
            <w:r w:rsidR="0AE505BD">
              <w:t>for sexual exposures</w:t>
            </w:r>
            <w:r w:rsidR="00F5672B">
              <w:t xml:space="preserve"> </w:t>
            </w:r>
            <w:r w:rsidR="000B785F">
              <w:t>and,</w:t>
            </w:r>
            <w:r w:rsidR="00AF2447">
              <w:t xml:space="preserve"> as a systemic product, may also cover</w:t>
            </w:r>
            <w:r w:rsidR="00AF2447" w:rsidDel="00AF2447">
              <w:t xml:space="preserve"> </w:t>
            </w:r>
            <w:r w:rsidR="00004CB6">
              <w:t>parenteral</w:t>
            </w:r>
            <w:r w:rsidR="00F5672B">
              <w:t xml:space="preserve"> exposure</w:t>
            </w:r>
            <w:r w:rsidR="00F60616">
              <w:t>s</w:t>
            </w:r>
            <w:r w:rsidR="3FB7AC23">
              <w:t>.</w:t>
            </w:r>
          </w:p>
          <w:p w14:paraId="0ACEF99E" w14:textId="2517D25B" w:rsidR="00246F78" w:rsidRPr="00606B35" w:rsidRDefault="00246F78" w:rsidP="00DD508F">
            <w:pPr>
              <w:spacing w:after="120"/>
            </w:pPr>
          </w:p>
        </w:tc>
      </w:tr>
      <w:tr w:rsidR="00246F78" w:rsidRPr="00606B35" w14:paraId="1DC5AC6D" w14:textId="77777777" w:rsidTr="52CC4247">
        <w:trPr>
          <w:trHeight w:val="575"/>
        </w:trPr>
        <w:tc>
          <w:tcPr>
            <w:tcW w:w="1843" w:type="dxa"/>
            <w:hideMark/>
          </w:tcPr>
          <w:p w14:paraId="71D30353" w14:textId="0B8A5339" w:rsidR="00246F78" w:rsidRPr="00606B35" w:rsidRDefault="00B50BD2" w:rsidP="00DD508F">
            <w:pPr>
              <w:spacing w:after="120"/>
            </w:pPr>
            <w:r w:rsidRPr="0294A27B">
              <w:t>P</w:t>
            </w:r>
            <w:r w:rsidR="00246F78" w:rsidRPr="0294A27B">
              <w:t xml:space="preserve">rEP is not </w:t>
            </w:r>
            <w:r w:rsidR="00246F78">
              <w:br/>
            </w:r>
            <w:r w:rsidR="00246F78" w:rsidRPr="0294A27B">
              <w:t>for life.</w:t>
            </w:r>
          </w:p>
        </w:tc>
        <w:tc>
          <w:tcPr>
            <w:tcW w:w="8682" w:type="dxa"/>
            <w:hideMark/>
          </w:tcPr>
          <w:p w14:paraId="47338016" w14:textId="15FC585E" w:rsidR="00246F78" w:rsidRPr="00606B35" w:rsidRDefault="4B69455A" w:rsidP="00DD508F">
            <w:pPr>
              <w:spacing w:after="120"/>
            </w:pPr>
            <w:r>
              <w:t xml:space="preserve">You should take PrEP </w:t>
            </w:r>
            <w:r w:rsidR="010A5E57">
              <w:t xml:space="preserve">or use another </w:t>
            </w:r>
            <w:r w:rsidR="7A74D105">
              <w:t>HIV prevention strategy</w:t>
            </w:r>
            <w:r w:rsidR="00024BDE">
              <w:t xml:space="preserve"> for as long as you feel you may be exposed to HIV</w:t>
            </w:r>
            <w:r>
              <w:t xml:space="preserve">. Some people need to take PrEP </w:t>
            </w:r>
            <w:r w:rsidR="101E708B">
              <w:t xml:space="preserve">only </w:t>
            </w:r>
            <w:r>
              <w:t>during certain times in their lives, while others have an ongoing need</w:t>
            </w:r>
            <w:r w:rsidR="7DC5423A">
              <w:t xml:space="preserve"> to use PrEP</w:t>
            </w:r>
            <w:r>
              <w:t>. </w:t>
            </w:r>
            <w:r w:rsidR="65718906">
              <w:t xml:space="preserve">If you decide to start </w:t>
            </w:r>
            <w:r w:rsidR="762ACC42">
              <w:t xml:space="preserve">the </w:t>
            </w:r>
            <w:r w:rsidR="65718906">
              <w:t>PrEP</w:t>
            </w:r>
            <w:r w:rsidR="762ACC42">
              <w:t xml:space="preserve"> ring or oral </w:t>
            </w:r>
            <w:r w:rsidR="0A195739">
              <w:t>PrEP</w:t>
            </w:r>
            <w:r w:rsidR="65718906">
              <w:t>, it is suggested that you come back in a month for a follow-up visit</w:t>
            </w:r>
            <w:r w:rsidR="00024BDE">
              <w:t>, and</w:t>
            </w:r>
            <w:r w:rsidR="5E876BE2">
              <w:t xml:space="preserve"> </w:t>
            </w:r>
            <w:r w:rsidR="1BDDE9CD">
              <w:t>then</w:t>
            </w:r>
            <w:r w:rsidR="5F4F8921">
              <w:t xml:space="preserve"> return every three months after that</w:t>
            </w:r>
            <w:r w:rsidR="4508E889">
              <w:t>.</w:t>
            </w:r>
            <w:r w:rsidR="657B04E5">
              <w:t xml:space="preserve"> If you cho</w:t>
            </w:r>
            <w:r w:rsidR="009E3FED">
              <w:t>o</w:t>
            </w:r>
            <w:r w:rsidR="657B04E5">
              <w:t>se CAB PrEP</w:t>
            </w:r>
            <w:r w:rsidR="34CC7853">
              <w:t xml:space="preserve"> and decide to continue with it</w:t>
            </w:r>
            <w:r w:rsidR="657B04E5">
              <w:t xml:space="preserve">, you will need to come back </w:t>
            </w:r>
            <w:r w:rsidR="00050DD0">
              <w:t>for your second</w:t>
            </w:r>
            <w:r w:rsidR="657B04E5">
              <w:t xml:space="preserve"> </w:t>
            </w:r>
            <w:r w:rsidR="34CC7853">
              <w:t xml:space="preserve">initiation injection </w:t>
            </w:r>
            <w:r w:rsidR="00E660E5">
              <w:t>one month</w:t>
            </w:r>
            <w:r w:rsidR="59CE0D9D">
              <w:t xml:space="preserve"> </w:t>
            </w:r>
            <w:r w:rsidR="00A442AD">
              <w:t>after the first initiation injection</w:t>
            </w:r>
            <w:r w:rsidR="65718906">
              <w:t xml:space="preserve"> </w:t>
            </w:r>
            <w:r w:rsidR="2F4526B5">
              <w:t xml:space="preserve">and every </w:t>
            </w:r>
            <w:r w:rsidR="00E660E5">
              <w:t>two months</w:t>
            </w:r>
            <w:r w:rsidR="2F4526B5">
              <w:t xml:space="preserve"> </w:t>
            </w:r>
            <w:r w:rsidR="00A442AD">
              <w:t>thereafter for follow-up injections</w:t>
            </w:r>
            <w:r w:rsidR="1076BF8F">
              <w:t>.</w:t>
            </w:r>
          </w:p>
        </w:tc>
      </w:tr>
      <w:tr w:rsidR="00B9575E" w:rsidRPr="0294A27B" w14:paraId="077F852C" w14:textId="77777777" w:rsidTr="52CC4247">
        <w:trPr>
          <w:trHeight w:val="575"/>
        </w:trPr>
        <w:tc>
          <w:tcPr>
            <w:tcW w:w="1843" w:type="dxa"/>
          </w:tcPr>
          <w:p w14:paraId="45EC1BB6" w14:textId="6BA1031F" w:rsidR="00B9575E" w:rsidRPr="00606B35" w:rsidRDefault="00B9575E">
            <w:pPr>
              <w:spacing w:after="120"/>
            </w:pPr>
            <w:r>
              <w:t>Starting and stopping PrEP</w:t>
            </w:r>
          </w:p>
        </w:tc>
        <w:tc>
          <w:tcPr>
            <w:tcW w:w="8682" w:type="dxa"/>
          </w:tcPr>
          <w:p w14:paraId="0DEFEDC3" w14:textId="11D0971B" w:rsidR="00B9575E" w:rsidRPr="004A5CE7" w:rsidRDefault="4502AEF6">
            <w:pPr>
              <w:spacing w:after="120"/>
              <w:rPr>
                <w:color w:val="000000" w:themeColor="text1"/>
              </w:rPr>
            </w:pPr>
            <w:r>
              <w:t xml:space="preserve">For PrEP to be most effective, you must use PrEP as prescribed. When choosing a </w:t>
            </w:r>
            <w:proofErr w:type="gramStart"/>
            <w:r>
              <w:t>PrEP</w:t>
            </w:r>
            <w:proofErr w:type="gramEnd"/>
            <w:r>
              <w:t xml:space="preserve"> method, it is important to consider which method(s) you can use effectively. Now</w:t>
            </w:r>
            <w:r w:rsidR="560E815A">
              <w:t>,</w:t>
            </w:r>
            <w:r>
              <w:t xml:space="preserve"> I will tell you about how long you should use PrEP before and after potential HIV exposures, which is different for different methods. If you choose to start PrEP, </w:t>
            </w:r>
            <w:r w:rsidR="00355CB1">
              <w:t>it is particularly important to</w:t>
            </w:r>
            <w:r w:rsidR="000D0DA5">
              <w:t xml:space="preserve"> try to</w:t>
            </w:r>
            <w:r w:rsidR="00355CB1">
              <w:t xml:space="preserve"> </w:t>
            </w:r>
            <w:r w:rsidR="006A51B9">
              <w:t xml:space="preserve">avoid potential exposures to HIV </w:t>
            </w:r>
            <w:r w:rsidR="00CC75D5">
              <w:t>until adequate drug levels are achieved</w:t>
            </w:r>
            <w:r w:rsidR="00C91BC5">
              <w:t xml:space="preserve"> by u</w:t>
            </w:r>
            <w:r w:rsidR="00E83148">
              <w:t>s</w:t>
            </w:r>
            <w:r w:rsidR="000D0DA5">
              <w:t>ing</w:t>
            </w:r>
            <w:r w:rsidR="00E83148">
              <w:t xml:space="preserve"> condoms with condom-compatible lubricant</w:t>
            </w:r>
            <w:r w:rsidR="00284FA8">
              <w:t xml:space="preserve"> and</w:t>
            </w:r>
            <w:r w:rsidR="000B38FF">
              <w:t xml:space="preserve"> using sterile </w:t>
            </w:r>
            <w:r w:rsidR="00284FA8">
              <w:t xml:space="preserve">and non-shared </w:t>
            </w:r>
            <w:r w:rsidR="000B38FF">
              <w:t>injection-related materials</w:t>
            </w:r>
            <w:r w:rsidR="00284FA8">
              <w:t>.</w:t>
            </w:r>
          </w:p>
          <w:p w14:paraId="488100BF" w14:textId="71FC1B2E" w:rsidR="00B9575E" w:rsidRPr="001130DE" w:rsidRDefault="00965688">
            <w:pPr>
              <w:spacing w:after="120"/>
              <w:rPr>
                <w:b/>
              </w:rPr>
            </w:pPr>
            <w:r>
              <w:rPr>
                <w:b/>
              </w:rPr>
              <w:t>For p</w:t>
            </w:r>
            <w:r w:rsidR="00B9575E" w:rsidRPr="001130DE">
              <w:rPr>
                <w:b/>
              </w:rPr>
              <w:t xml:space="preserve">eople </w:t>
            </w:r>
            <w:r w:rsidR="000B785F">
              <w:rPr>
                <w:b/>
              </w:rPr>
              <w:t>AFAB</w:t>
            </w:r>
            <w:r w:rsidR="00072CB1">
              <w:rPr>
                <w:b/>
              </w:rPr>
              <w:t xml:space="preserve"> or AMAB taking </w:t>
            </w:r>
            <w:r w:rsidR="00CF785C">
              <w:rPr>
                <w:b/>
              </w:rPr>
              <w:t>exogenous estradiol-based hormones</w:t>
            </w:r>
            <w:r w:rsidR="00541D59" w:rsidRPr="001130DE">
              <w:rPr>
                <w:b/>
              </w:rPr>
              <w:t xml:space="preserve"> </w:t>
            </w:r>
            <w:r w:rsidR="00DA1DE9">
              <w:rPr>
                <w:b/>
              </w:rPr>
              <w:t>interested in</w:t>
            </w:r>
            <w:r w:rsidR="00DA1DE9" w:rsidRPr="001130DE">
              <w:rPr>
                <w:b/>
              </w:rPr>
              <w:t xml:space="preserve"> </w:t>
            </w:r>
            <w:r w:rsidR="00B9575E" w:rsidRPr="001130DE">
              <w:rPr>
                <w:b/>
              </w:rPr>
              <w:t xml:space="preserve">oral PrEP, </w:t>
            </w:r>
            <w:r w:rsidR="00923D11">
              <w:rPr>
                <w:b/>
              </w:rPr>
              <w:t xml:space="preserve">the </w:t>
            </w:r>
            <w:r w:rsidR="00B9575E" w:rsidRPr="001130DE">
              <w:rPr>
                <w:b/>
              </w:rPr>
              <w:t>PrEP ring, or CAB PrEP</w:t>
            </w:r>
            <w:r w:rsidR="002746ED">
              <w:rPr>
                <w:b/>
              </w:rPr>
              <w:t>:</w:t>
            </w:r>
          </w:p>
          <w:p w14:paraId="18066DFD" w14:textId="6FABA274" w:rsidR="00B9575E" w:rsidRPr="00D352D2" w:rsidRDefault="00B9575E">
            <w:pPr>
              <w:spacing w:after="120"/>
              <w:rPr>
                <w:color w:val="000000" w:themeColor="text1"/>
              </w:rPr>
            </w:pPr>
            <w:r>
              <w:t xml:space="preserve">Your choice </w:t>
            </w:r>
            <w:r w:rsidR="00627CE5">
              <w:t>of</w:t>
            </w:r>
            <w:r>
              <w:t xml:space="preserve"> oral PrEP, CAB PrEP, or the PrEP ring depends on</w:t>
            </w:r>
            <w:r w:rsidR="00363F1A">
              <w:t xml:space="preserve"> your potential exposures to HIV, including</w:t>
            </w:r>
            <w:r>
              <w:t xml:space="preserve"> the types of sex you have, as well as your preferences. </w:t>
            </w:r>
          </w:p>
          <w:p w14:paraId="49B64B24" w14:textId="77777777" w:rsidR="00B9575E" w:rsidRPr="00D352D2" w:rsidRDefault="00B9575E">
            <w:pPr>
              <w:spacing w:after="120"/>
              <w:rPr>
                <w:color w:val="000000" w:themeColor="text1"/>
              </w:rPr>
            </w:pPr>
            <w:r w:rsidRPr="00765AF8">
              <w:rPr>
                <w:b/>
                <w:bCs/>
              </w:rPr>
              <w:t>Oral PrEP</w:t>
            </w:r>
            <w:r>
              <w:t xml:space="preserve"> must be taken daily and should be used for at least seven consecutive days before it is considered effective. It must be continued for seven days after the last potential exposure. </w:t>
            </w:r>
            <w:r>
              <w:lastRenderedPageBreak/>
              <w:t xml:space="preserve">Taken this way, oral PrEP is effective at preventing HIV during all types of exposures to HIV. Oral PrEP can be taken with or without food. </w:t>
            </w:r>
          </w:p>
          <w:p w14:paraId="716D81D0" w14:textId="268427F7" w:rsidR="00B9575E" w:rsidRPr="00D352D2" w:rsidRDefault="00B9575E">
            <w:pPr>
              <w:spacing w:after="120"/>
              <w:rPr>
                <w:color w:val="000000" w:themeColor="text1"/>
              </w:rPr>
            </w:pPr>
            <w:r w:rsidRPr="00765AF8">
              <w:rPr>
                <w:b/>
                <w:bCs/>
              </w:rPr>
              <w:t>PrEP ring</w:t>
            </w:r>
            <w:r>
              <w:t xml:space="preserve"> is also an option for you. </w:t>
            </w:r>
            <w:r w:rsidR="00C02C35">
              <w:t>You can insert t</w:t>
            </w:r>
            <w:r>
              <w:t>he PrEP ring into the vagina you</w:t>
            </w:r>
            <w:r w:rsidR="00C02C35">
              <w:t>rself</w:t>
            </w:r>
            <w:r>
              <w:t xml:space="preserve"> or with help from a provider if you</w:t>
            </w:r>
            <w:r w:rsidR="000B09E5">
              <w:t xml:space="preserve"> woul</w:t>
            </w:r>
            <w:r>
              <w:t>d like. T</w:t>
            </w:r>
            <w:r w:rsidRPr="56D00486">
              <w:rPr>
                <w:color w:val="000000" w:themeColor="text1"/>
              </w:rPr>
              <w:t xml:space="preserve">he ring should remain in place for one month without removal and should be replaced with a new ring at the end of the month. The ring must be in place for at least 24 hours before it is considered maximally effective. The ring prevents HIV acquisition only during receptive vaginal sex. </w:t>
            </w:r>
            <w:r w:rsidR="00D50FE7">
              <w:rPr>
                <w:color w:val="000000" w:themeColor="text1"/>
              </w:rPr>
              <w:t xml:space="preserve">The ring can be removed by </w:t>
            </w:r>
            <w:r w:rsidR="003615E8">
              <w:rPr>
                <w:color w:val="000000" w:themeColor="text1"/>
              </w:rPr>
              <w:t xml:space="preserve">hand, so you can remove it without help. However, if you would prefer support, you </w:t>
            </w:r>
            <w:r w:rsidR="008C22F1">
              <w:rPr>
                <w:color w:val="000000" w:themeColor="text1"/>
              </w:rPr>
              <w:t xml:space="preserve">can receive help </w:t>
            </w:r>
            <w:r w:rsidR="003615E8">
              <w:rPr>
                <w:color w:val="000000" w:themeColor="text1"/>
              </w:rPr>
              <w:t>remov</w:t>
            </w:r>
            <w:r w:rsidR="008C22F1">
              <w:rPr>
                <w:color w:val="000000" w:themeColor="text1"/>
              </w:rPr>
              <w:t>ing</w:t>
            </w:r>
            <w:r w:rsidR="003615E8">
              <w:rPr>
                <w:color w:val="000000" w:themeColor="text1"/>
              </w:rPr>
              <w:t xml:space="preserve"> it and there is no need for a speculum or other tools. </w:t>
            </w:r>
          </w:p>
          <w:p w14:paraId="1119EB52" w14:textId="7FA00E82" w:rsidR="00B9575E" w:rsidRDefault="00B9575E">
            <w:r w:rsidRPr="00765AF8">
              <w:rPr>
                <w:b/>
                <w:bCs/>
                <w:color w:val="000000" w:themeColor="text1"/>
              </w:rPr>
              <w:t>CAB PrEP</w:t>
            </w:r>
            <w:r w:rsidRPr="56D00486">
              <w:rPr>
                <w:color w:val="000000" w:themeColor="text1"/>
              </w:rPr>
              <w:t xml:space="preserve"> is another option. CAB PrEP is injected into the buttocks. </w:t>
            </w:r>
            <w:r>
              <w:t xml:space="preserve">The first two injections are </w:t>
            </w:r>
            <w:r w:rsidR="00E660E5">
              <w:t>one month</w:t>
            </w:r>
            <w:r>
              <w:t xml:space="preserve"> apart</w:t>
            </w:r>
            <w:r w:rsidR="000D30A4">
              <w:t>,</w:t>
            </w:r>
            <w:r>
              <w:t xml:space="preserve"> followed by injections every </w:t>
            </w:r>
            <w:r w:rsidR="00E660E5">
              <w:t>two months</w:t>
            </w:r>
            <w:r>
              <w:t xml:space="preserve"> thereafter. </w:t>
            </w:r>
            <w:r w:rsidR="004D601E">
              <w:t xml:space="preserve">For sexual exposures, the </w:t>
            </w:r>
            <w:r>
              <w:t xml:space="preserve">current evidence shows it takes </w:t>
            </w:r>
            <w:r w:rsidR="00344D4C">
              <w:t xml:space="preserve">about one week </w:t>
            </w:r>
            <w:r w:rsidR="004E21EA">
              <w:t xml:space="preserve">after initiation injection 1 </w:t>
            </w:r>
            <w:r w:rsidR="00344D4C">
              <w:t>for drug concentrations to reach levels anticipated for CAB PrEP to be maximally effective</w:t>
            </w:r>
            <w:r>
              <w:t xml:space="preserve">, so you should use another HIV prevention strategy during that time. The medication will stay in the body </w:t>
            </w:r>
            <w:r w:rsidR="00AC5322">
              <w:t xml:space="preserve">at levels effective for preventing HIV </w:t>
            </w:r>
            <w:r w:rsidR="00A01313">
              <w:t xml:space="preserve">acquisition </w:t>
            </w:r>
            <w:r w:rsidR="00052CCA">
              <w:t xml:space="preserve">for </w:t>
            </w:r>
            <w:r w:rsidR="002152F1">
              <w:t>at least</w:t>
            </w:r>
            <w:r w:rsidR="00052CCA">
              <w:t xml:space="preserve"> </w:t>
            </w:r>
            <w:r w:rsidR="004E21EA">
              <w:t>eight</w:t>
            </w:r>
            <w:r w:rsidR="00052CCA">
              <w:t xml:space="preserve"> weeks </w:t>
            </w:r>
            <w:r>
              <w:t>after you</w:t>
            </w:r>
            <w:r w:rsidR="00A01313">
              <w:t>r</w:t>
            </w:r>
            <w:r>
              <w:t xml:space="preserve"> </w:t>
            </w:r>
            <w:r w:rsidR="00A01313">
              <w:t>last injection</w:t>
            </w:r>
            <w:r>
              <w:t xml:space="preserve">, but </w:t>
            </w:r>
            <w:r w:rsidR="00052CCA">
              <w:t xml:space="preserve">then </w:t>
            </w:r>
            <w:r>
              <w:t xml:space="preserve">levels </w:t>
            </w:r>
            <w:r w:rsidR="00052CCA">
              <w:t xml:space="preserve">decline and </w:t>
            </w:r>
            <w:r>
              <w:t>may not prevent HIV</w:t>
            </w:r>
            <w:r w:rsidR="00052CCA">
              <w:t xml:space="preserve"> acquisition. </w:t>
            </w:r>
            <w:r w:rsidR="00662AD8">
              <w:t xml:space="preserve">At these </w:t>
            </w:r>
            <w:r w:rsidR="004E21EA">
              <w:t xml:space="preserve">reduced </w:t>
            </w:r>
            <w:r w:rsidR="00662AD8">
              <w:t xml:space="preserve">levels, if you get HIV, you may develop drug resistance, meaning that </w:t>
            </w:r>
            <w:r w:rsidR="00CF338A">
              <w:t>medicines</w:t>
            </w:r>
            <w:r w:rsidR="00662AD8">
              <w:t xml:space="preserve"> used to treat HIV may be less effective or not work at all. </w:t>
            </w:r>
            <w:r w:rsidR="00CF338A">
              <w:t xml:space="preserve">This period where drug resistance is possible is called the </w:t>
            </w:r>
            <w:r w:rsidR="000E0B08">
              <w:t>“</w:t>
            </w:r>
            <w:r w:rsidR="0004326F">
              <w:t>tail period.</w:t>
            </w:r>
            <w:r w:rsidR="000E0B08">
              <w:t>”</w:t>
            </w:r>
            <w:r w:rsidR="0004326F">
              <w:t xml:space="preserve"> To prevent HIV drug resistance during the tail period, it is important for you to use an effective HIV prevention strategy if you might be exposed to HIV. </w:t>
            </w:r>
          </w:p>
          <w:p w14:paraId="0FE7537A" w14:textId="1D392848" w:rsidR="00B9575E" w:rsidRPr="001130DE" w:rsidRDefault="00B9575E">
            <w:pPr>
              <w:spacing w:after="120"/>
              <w:rPr>
                <w:color w:val="000000" w:themeColor="text1"/>
              </w:rPr>
            </w:pPr>
            <w:r w:rsidRPr="56D00486">
              <w:rPr>
                <w:color w:val="000000" w:themeColor="text1"/>
              </w:rPr>
              <w:t xml:space="preserve">When stopping any PrEP method, it is important to use another PrEP method or HIV prevention strategy if your need for HIV prevention continues. </w:t>
            </w:r>
          </w:p>
          <w:p w14:paraId="387A3B86" w14:textId="17E2334B" w:rsidR="00B9575E" w:rsidRPr="004A5CE7" w:rsidRDefault="00965688">
            <w:pPr>
              <w:spacing w:after="120"/>
              <w:rPr>
                <w:b/>
              </w:rPr>
            </w:pPr>
            <w:r>
              <w:rPr>
                <w:b/>
              </w:rPr>
              <w:t>For p</w:t>
            </w:r>
            <w:r w:rsidR="00B9575E" w:rsidRPr="001130DE">
              <w:rPr>
                <w:b/>
              </w:rPr>
              <w:t xml:space="preserve">eople </w:t>
            </w:r>
            <w:r w:rsidR="00DA57B2">
              <w:rPr>
                <w:b/>
              </w:rPr>
              <w:t xml:space="preserve">AMAB not taking </w:t>
            </w:r>
            <w:r w:rsidR="00CF785C">
              <w:rPr>
                <w:b/>
              </w:rPr>
              <w:t>exogenous estradiol-based hormones</w:t>
            </w:r>
            <w:r w:rsidR="00072CB1" w:rsidRPr="001130DE" w:rsidDel="00072CB1">
              <w:rPr>
                <w:b/>
              </w:rPr>
              <w:t xml:space="preserve"> </w:t>
            </w:r>
            <w:r w:rsidR="00D908BD">
              <w:rPr>
                <w:b/>
              </w:rPr>
              <w:t>interested in</w:t>
            </w:r>
            <w:r w:rsidR="00D908BD" w:rsidRPr="001130DE">
              <w:rPr>
                <w:b/>
              </w:rPr>
              <w:t xml:space="preserve"> </w:t>
            </w:r>
            <w:r w:rsidR="00B9575E" w:rsidRPr="001130DE">
              <w:rPr>
                <w:b/>
              </w:rPr>
              <w:t>oral PrEP or CAB PrEP</w:t>
            </w:r>
            <w:r w:rsidR="002746ED">
              <w:rPr>
                <w:b/>
              </w:rPr>
              <w:t>:</w:t>
            </w:r>
          </w:p>
          <w:p w14:paraId="444A531B" w14:textId="711FB021" w:rsidR="00B9575E" w:rsidRPr="004A5CE7" w:rsidRDefault="00B9575E">
            <w:pPr>
              <w:spacing w:after="120"/>
            </w:pPr>
            <w:r w:rsidRPr="0294A27B">
              <w:t xml:space="preserve">Your choice between oral PrEP or CAB PrEP depends upon </w:t>
            </w:r>
            <w:r w:rsidR="006722E3">
              <w:t>your potential exposures to HIV</w:t>
            </w:r>
            <w:r w:rsidR="00DE604C">
              <w:t xml:space="preserve">, </w:t>
            </w:r>
            <w:r w:rsidR="00363F1A">
              <w:t>including the</w:t>
            </w:r>
            <w:r w:rsidRPr="0294A27B">
              <w:t xml:space="preserve"> frequency and predictability with which you have sex, as well as your preferences. </w:t>
            </w:r>
            <w:r w:rsidR="00072CB1">
              <w:t>Single or infrequent event</w:t>
            </w:r>
            <w:r w:rsidR="00DA57B2">
              <w:t xml:space="preserve"> use of oral PrEP</w:t>
            </w:r>
            <w:r w:rsidR="00072CB1">
              <w:t xml:space="preserve"> </w:t>
            </w:r>
            <w:r w:rsidRPr="0294A27B">
              <w:t xml:space="preserve">may be more appropriate if you find it more effective and convenient, have infrequent sex (for example, less than two times per week on average), and are able to plan for sex at least two hours in advance or delay sex for at least two hours. You may wish to transition between </w:t>
            </w:r>
            <w:r w:rsidR="00DA57B2">
              <w:t xml:space="preserve">dosing regimens </w:t>
            </w:r>
            <w:r w:rsidRPr="0294A27B">
              <w:t>according to your circumstances. Oral PrEP can be taken with or without food.</w:t>
            </w:r>
          </w:p>
          <w:p w14:paraId="7262FAF6" w14:textId="67B4CDBC" w:rsidR="00B9575E" w:rsidRDefault="00B9575E">
            <w:pPr>
              <w:spacing w:after="120"/>
            </w:pPr>
            <w:r w:rsidRPr="00765AF8">
              <w:rPr>
                <w:b/>
                <w:bCs/>
              </w:rPr>
              <w:t>To start oral PrEP,</w:t>
            </w:r>
            <w:r>
              <w:t xml:space="preserve"> take a loading dose of two pills at PrEP initiation and delay sex for at least </w:t>
            </w:r>
            <w:r w:rsidR="00E3671D">
              <w:t>two</w:t>
            </w:r>
            <w:r>
              <w:t xml:space="preserve"> hours, ideally closer to 24 hours, at which time drug levels will be maximally effective to prevent HIV acquisition from sexual exposures. Continue taking one pill of oral PrEP at the same time daily</w:t>
            </w:r>
            <w:r w:rsidR="00E63B03">
              <w:t xml:space="preserve"> </w:t>
            </w:r>
            <w:r w:rsidR="00A02D6C">
              <w:t>thereafter</w:t>
            </w:r>
            <w:r>
              <w:t>.</w:t>
            </w:r>
            <w:r w:rsidR="00092DE9">
              <w:t xml:space="preserve"> For injection-related exposures, </w:t>
            </w:r>
            <w:r w:rsidR="008A44A7">
              <w:t xml:space="preserve">you will need to </w:t>
            </w:r>
            <w:r w:rsidR="00092DE9">
              <w:t>take one pill</w:t>
            </w:r>
            <w:r w:rsidR="00DD5CD7">
              <w:t xml:space="preserve"> daily for </w:t>
            </w:r>
            <w:r w:rsidR="00D86060">
              <w:t>seven</w:t>
            </w:r>
            <w:r w:rsidR="00DD5CD7">
              <w:t xml:space="preserve"> days prior to exposure</w:t>
            </w:r>
            <w:r w:rsidR="008A44A7">
              <w:t xml:space="preserve"> for drug levels to be maximally effective</w:t>
            </w:r>
            <w:r w:rsidR="00DD5CD7">
              <w:t>.</w:t>
            </w:r>
            <w:r>
              <w:t xml:space="preserve"> To discontinue, continue one pill of oral PrEP daily until two days after the last potential sexual exposure or seven days after the last potential injection-related exposure, whichever is longer.</w:t>
            </w:r>
          </w:p>
          <w:p w14:paraId="4AE06B2A" w14:textId="22D71A22" w:rsidR="00B9575E" w:rsidRDefault="00B9575E" w:rsidP="0008528D">
            <w:pPr>
              <w:spacing w:after="120"/>
            </w:pPr>
            <w:r w:rsidRPr="00765AF8">
              <w:rPr>
                <w:b/>
                <w:bCs/>
                <w:color w:val="000000" w:themeColor="text1"/>
              </w:rPr>
              <w:t>CAB PrEP</w:t>
            </w:r>
            <w:r w:rsidRPr="00D352D2">
              <w:rPr>
                <w:color w:val="000000" w:themeColor="text1"/>
              </w:rPr>
              <w:t xml:space="preserve"> is another option</w:t>
            </w:r>
            <w:r w:rsidRPr="3D437607">
              <w:rPr>
                <w:color w:val="000000" w:themeColor="text1"/>
              </w:rPr>
              <w:t>. CAB PrEP is injected into the buttocks</w:t>
            </w:r>
            <w:r w:rsidRPr="29B914F3">
              <w:rPr>
                <w:color w:val="000000" w:themeColor="text1"/>
              </w:rPr>
              <w:t>.</w:t>
            </w:r>
            <w:r w:rsidRPr="3D437607">
              <w:rPr>
                <w:color w:val="000000" w:themeColor="text1"/>
              </w:rPr>
              <w:t xml:space="preserve"> </w:t>
            </w:r>
            <w:r>
              <w:t xml:space="preserve">The first two injections are </w:t>
            </w:r>
            <w:r w:rsidR="00E660E5">
              <w:t>one month</w:t>
            </w:r>
            <w:r>
              <w:t xml:space="preserve"> apart</w:t>
            </w:r>
            <w:r w:rsidR="00131AED">
              <w:t>,</w:t>
            </w:r>
            <w:r>
              <w:t xml:space="preserve"> followed by injections every </w:t>
            </w:r>
            <w:r w:rsidR="00E660E5">
              <w:t>two months</w:t>
            </w:r>
            <w:r>
              <w:t xml:space="preserve"> thereafter. </w:t>
            </w:r>
            <w:r w:rsidR="003E5873">
              <w:t xml:space="preserve">For sexual exposures, the </w:t>
            </w:r>
            <w:r>
              <w:t xml:space="preserve">current evidence shows it takes about one week for CAB PrEP to reach full efficacy after initiation injection 1, so you should use another HIV prevention strategy during that time. </w:t>
            </w:r>
            <w:r w:rsidR="00A45188">
              <w:t xml:space="preserve">The medication will stay in the body for at least </w:t>
            </w:r>
            <w:r w:rsidR="004274FD">
              <w:t>eight</w:t>
            </w:r>
            <w:r w:rsidR="00A45188">
              <w:t xml:space="preserve"> weeks after you stop using CAB PrEP, but then levels decline and may not prevent HIV acquisition. At these </w:t>
            </w:r>
            <w:r w:rsidR="00CF7A5E">
              <w:t xml:space="preserve">reduced </w:t>
            </w:r>
            <w:r w:rsidR="00A45188">
              <w:t xml:space="preserve">levels, if you get HIV, you may develop drug resistance, meaning that medicines used to treat HIV may be less effective or not work at all. This period where drug resistance is possible is called the </w:t>
            </w:r>
            <w:r w:rsidR="00CF7A5E">
              <w:t>“</w:t>
            </w:r>
            <w:r w:rsidR="00A45188">
              <w:t xml:space="preserve">tail </w:t>
            </w:r>
            <w:r w:rsidR="00A45188">
              <w:lastRenderedPageBreak/>
              <w:t>period.</w:t>
            </w:r>
            <w:r w:rsidR="00CF7A5E">
              <w:t>”</w:t>
            </w:r>
            <w:r w:rsidR="00A45188">
              <w:t xml:space="preserve"> To prevent HIV drug resistance during the tail period, it is important for you to use an effective HIV prevention strategy if you might be exposed to HIV.</w:t>
            </w:r>
          </w:p>
          <w:p w14:paraId="154EB4EC" w14:textId="77777777" w:rsidR="00B9575E" w:rsidRPr="0294A27B" w:rsidRDefault="00B9575E">
            <w:pPr>
              <w:spacing w:after="120"/>
            </w:pPr>
            <w:r w:rsidRPr="3D437607">
              <w:rPr>
                <w:color w:val="000000" w:themeColor="text1"/>
              </w:rPr>
              <w:t xml:space="preserve">When stopping any PrEP method, it is important to use another PrEP method or HIV prevention strategy if your need for HIV prevention continues. </w:t>
            </w:r>
          </w:p>
        </w:tc>
      </w:tr>
      <w:tr w:rsidR="004F0723" w:rsidRPr="00606B35" w14:paraId="5654F926" w14:textId="77777777" w:rsidTr="52CC4247">
        <w:trPr>
          <w:trHeight w:val="575"/>
        </w:trPr>
        <w:tc>
          <w:tcPr>
            <w:tcW w:w="1843" w:type="dxa"/>
          </w:tcPr>
          <w:p w14:paraId="069058FB" w14:textId="27747145" w:rsidR="004F0723" w:rsidRPr="00606B35" w:rsidRDefault="004F0723" w:rsidP="00DD508F">
            <w:pPr>
              <w:spacing w:after="120"/>
            </w:pPr>
            <w:r w:rsidRPr="0294A27B">
              <w:lastRenderedPageBreak/>
              <w:t>PrEP and alcohol or other recreational drugs</w:t>
            </w:r>
          </w:p>
        </w:tc>
        <w:tc>
          <w:tcPr>
            <w:tcW w:w="8682" w:type="dxa"/>
          </w:tcPr>
          <w:p w14:paraId="6AB25432" w14:textId="251126B4" w:rsidR="004F0723" w:rsidRPr="00606B35" w:rsidRDefault="004F0723" w:rsidP="00DD508F">
            <w:pPr>
              <w:spacing w:after="120"/>
            </w:pPr>
            <w:r w:rsidRPr="0294A27B">
              <w:t xml:space="preserve">Taking PrEP while you are using </w:t>
            </w:r>
            <w:proofErr w:type="gramStart"/>
            <w:r w:rsidRPr="0294A27B">
              <w:t>alcohol</w:t>
            </w:r>
            <w:proofErr w:type="gramEnd"/>
            <w:r w:rsidRPr="0294A27B">
              <w:t xml:space="preserve"> or other recreational drugs will not hurt you. </w:t>
            </w:r>
            <w:r w:rsidR="00082C93" w:rsidRPr="00606B35">
              <w:t>However, alcohol or other recreational drugs may make it challenging to use PrEP correctly, such as by causing you to miss a</w:t>
            </w:r>
            <w:r w:rsidR="00BF35D5">
              <w:t>n appointment, a dose of oral PrEP</w:t>
            </w:r>
            <w:r w:rsidR="009335F3">
              <w:t>, or switching of a ring</w:t>
            </w:r>
            <w:r w:rsidR="00082C93" w:rsidRPr="00606B35">
              <w:t xml:space="preserve">, so </w:t>
            </w:r>
            <w:proofErr w:type="gramStart"/>
            <w:r w:rsidR="00082C93" w:rsidRPr="00606B35">
              <w:t>make a plan</w:t>
            </w:r>
            <w:proofErr w:type="gramEnd"/>
            <w:r w:rsidR="00082C93" w:rsidRPr="00606B35">
              <w:t xml:space="preserve"> to continue using PrEP effectively if you use alcohol or other substances. We can talk about planning together if that would be helpful.</w:t>
            </w:r>
          </w:p>
        </w:tc>
      </w:tr>
      <w:tr w:rsidR="004F0723" w:rsidRPr="00606B35" w14:paraId="02EBBB58" w14:textId="77777777" w:rsidTr="52CC4247">
        <w:trPr>
          <w:trHeight w:val="575"/>
        </w:trPr>
        <w:tc>
          <w:tcPr>
            <w:tcW w:w="1843" w:type="dxa"/>
          </w:tcPr>
          <w:p w14:paraId="71443D3B" w14:textId="203D5101" w:rsidR="004F0723" w:rsidRPr="00606B35" w:rsidRDefault="004F0723" w:rsidP="00DD508F">
            <w:pPr>
              <w:spacing w:after="120"/>
            </w:pPr>
            <w:r w:rsidRPr="0294A27B">
              <w:t>PrEP and other medications </w:t>
            </w:r>
          </w:p>
        </w:tc>
        <w:tc>
          <w:tcPr>
            <w:tcW w:w="8682" w:type="dxa"/>
          </w:tcPr>
          <w:p w14:paraId="5AEFDAFA" w14:textId="77777777" w:rsidR="004F0723" w:rsidRDefault="7B288BA3" w:rsidP="56D00486">
            <w:pPr>
              <w:spacing w:after="120"/>
            </w:pPr>
            <w:r>
              <w:t xml:space="preserve">The drugs in some PrEP methods may interact with other medications you may take. </w:t>
            </w:r>
            <w:r w:rsidR="1E2E8B57">
              <w:t>Are you taking any medications</w:t>
            </w:r>
            <w:r w:rsidR="41B9353E" w:rsidDel="1E2E8B57">
              <w:t>?</w:t>
            </w:r>
            <w:r>
              <w:t xml:space="preserve"> </w:t>
            </w:r>
          </w:p>
          <w:p w14:paraId="61EE02BB" w14:textId="09CCED70" w:rsidR="00446942" w:rsidRPr="00765AF8" w:rsidRDefault="00446942" w:rsidP="56D00486">
            <w:pPr>
              <w:spacing w:after="120"/>
            </w:pPr>
            <w:r w:rsidRPr="00765AF8">
              <w:rPr>
                <w:b/>
                <w:bCs/>
              </w:rPr>
              <w:t xml:space="preserve">PROVIDER NOTE: </w:t>
            </w:r>
            <w:r w:rsidR="005F1474" w:rsidRPr="00765AF8">
              <w:t>Depending on the PrEP method the client is interested in or using, refer to the</w:t>
            </w:r>
            <w:r w:rsidR="0073450B" w:rsidRPr="00765AF8">
              <w:t xml:space="preserve"> relevant</w:t>
            </w:r>
            <w:r w:rsidR="005F1474" w:rsidRPr="00765AF8">
              <w:t xml:space="preserve"> “[PrEP method] and Other Drug Interactions” section</w:t>
            </w:r>
            <w:r w:rsidR="0073450B" w:rsidRPr="00765AF8">
              <w:t xml:space="preserve"> above.</w:t>
            </w:r>
            <w:r w:rsidR="0073450B">
              <w:rPr>
                <w:b/>
                <w:bCs/>
              </w:rPr>
              <w:t xml:space="preserve"> </w:t>
            </w:r>
          </w:p>
        </w:tc>
      </w:tr>
      <w:tr w:rsidR="004F0723" w:rsidRPr="00606B35" w14:paraId="5260CBD4" w14:textId="77777777" w:rsidTr="52CC4247">
        <w:trPr>
          <w:trHeight w:val="575"/>
        </w:trPr>
        <w:tc>
          <w:tcPr>
            <w:tcW w:w="1843" w:type="dxa"/>
          </w:tcPr>
          <w:p w14:paraId="40A85E4F" w14:textId="58095FDD" w:rsidR="004F0723" w:rsidRPr="00606B35" w:rsidRDefault="004F0723" w:rsidP="00DD508F">
            <w:pPr>
              <w:spacing w:after="120"/>
            </w:pPr>
            <w:r w:rsidRPr="0294A27B">
              <w:t xml:space="preserve">PrEP, pregnancy, </w:t>
            </w:r>
            <w:r>
              <w:br/>
            </w:r>
            <w:r w:rsidRPr="0294A27B">
              <w:t>and breastfeeding </w:t>
            </w:r>
          </w:p>
        </w:tc>
        <w:tc>
          <w:tcPr>
            <w:tcW w:w="8682" w:type="dxa"/>
          </w:tcPr>
          <w:p w14:paraId="7AAF8204" w14:textId="1C099D02" w:rsidR="004F0723" w:rsidRPr="00606B35" w:rsidRDefault="004F0723" w:rsidP="00DD508F">
            <w:pPr>
              <w:spacing w:after="120"/>
            </w:pPr>
            <w:r w:rsidRPr="00606B35">
              <w:t>PrEP does not prevent pregnancy. To avoid unintended pregnancy, use a contraceptive method.</w:t>
            </w:r>
          </w:p>
          <w:p w14:paraId="3A1BC066" w14:textId="3AC0DE21" w:rsidR="004F0723" w:rsidRPr="00606B35" w:rsidRDefault="004E65B9" w:rsidP="00DD508F">
            <w:pPr>
              <w:spacing w:after="120"/>
            </w:pPr>
            <w:r w:rsidRPr="00606B35">
              <w:t xml:space="preserve">The likelihood of acquiring HIV is higher during pregnancy and the postnatal period. </w:t>
            </w:r>
            <w:r w:rsidR="004F0723" w:rsidRPr="0294A27B">
              <w:t xml:space="preserve">Taking oral PrEP while you are </w:t>
            </w:r>
            <w:proofErr w:type="gramStart"/>
            <w:r w:rsidR="00541D59" w:rsidRPr="0294A27B">
              <w:t>pregnant</w:t>
            </w:r>
            <w:proofErr w:type="gramEnd"/>
            <w:r w:rsidR="004F0723" w:rsidRPr="0294A27B">
              <w:t xml:space="preserve"> or breastfeeding will not hurt you or your baby. Because HIV can be transmitted during pregnancy and breastfeeding, taking oral PrEP during this time prevents both you and your baby from acquiring HIV. You can use oral PrEP throughout pregnancy and breastfeeding. </w:t>
            </w:r>
          </w:p>
          <w:p w14:paraId="6F05DD3E" w14:textId="4311CD26" w:rsidR="00337F2A" w:rsidRPr="00AA0A12" w:rsidRDefault="002413A3" w:rsidP="00F85FC6">
            <w:pPr>
              <w:spacing w:after="120"/>
              <w:rPr>
                <w:highlight w:val="green"/>
              </w:rPr>
            </w:pPr>
            <w:r>
              <w:rPr>
                <w:color w:val="000000" w:themeColor="text1"/>
              </w:rPr>
              <w:t xml:space="preserve">The </w:t>
            </w:r>
            <w:r w:rsidR="004E39A7">
              <w:rPr>
                <w:color w:val="000000" w:themeColor="text1"/>
              </w:rPr>
              <w:t xml:space="preserve">available data suggest both </w:t>
            </w:r>
            <w:r>
              <w:rPr>
                <w:color w:val="000000" w:themeColor="text1"/>
              </w:rPr>
              <w:t xml:space="preserve">PrEP ring and CAB PrEP </w:t>
            </w:r>
            <w:r w:rsidR="004E39A7">
              <w:rPr>
                <w:color w:val="000000" w:themeColor="text1"/>
              </w:rPr>
              <w:t>are likely safe</w:t>
            </w:r>
            <w:r>
              <w:rPr>
                <w:color w:val="000000" w:themeColor="text1"/>
              </w:rPr>
              <w:t xml:space="preserve"> during pregnancy</w:t>
            </w:r>
            <w:r w:rsidR="006C7BB4">
              <w:rPr>
                <w:color w:val="000000" w:themeColor="text1"/>
              </w:rPr>
              <w:t xml:space="preserve"> and </w:t>
            </w:r>
            <w:r w:rsidR="00C17402">
              <w:rPr>
                <w:color w:val="000000" w:themeColor="text1"/>
              </w:rPr>
              <w:t xml:space="preserve">the </w:t>
            </w:r>
            <w:r w:rsidR="006C7BB4">
              <w:rPr>
                <w:color w:val="000000" w:themeColor="text1"/>
              </w:rPr>
              <w:t>PrEP ring is safe during breastfeeding</w:t>
            </w:r>
            <w:r>
              <w:rPr>
                <w:color w:val="000000" w:themeColor="text1"/>
              </w:rPr>
              <w:t>.</w:t>
            </w:r>
            <w:r w:rsidR="006C7BB4">
              <w:rPr>
                <w:color w:val="000000" w:themeColor="text1"/>
              </w:rPr>
              <w:t xml:space="preserve"> Research on CAB PrEP use during </w:t>
            </w:r>
            <w:r w:rsidR="00807970">
              <w:rPr>
                <w:color w:val="000000" w:themeColor="text1"/>
              </w:rPr>
              <w:t>breastfeeding</w:t>
            </w:r>
            <w:r w:rsidR="006C7BB4">
              <w:rPr>
                <w:color w:val="000000" w:themeColor="text1"/>
              </w:rPr>
              <w:t xml:space="preserve"> is still ongoing.</w:t>
            </w:r>
            <w:r w:rsidR="62E2B162" w:rsidRPr="56D00486">
              <w:rPr>
                <w:color w:val="000000" w:themeColor="text1"/>
              </w:rPr>
              <w:t xml:space="preserve"> If you are pregnant or breastfeeding</w:t>
            </w:r>
            <w:r w:rsidR="7FD61A06" w:rsidRPr="56D00486">
              <w:rPr>
                <w:color w:val="000000" w:themeColor="text1"/>
              </w:rPr>
              <w:t>,</w:t>
            </w:r>
            <w:r w:rsidR="62E2B162" w:rsidRPr="56D00486">
              <w:rPr>
                <w:color w:val="000000" w:themeColor="text1"/>
              </w:rPr>
              <w:t xml:space="preserve"> or intend to be, we should discuss this.</w:t>
            </w:r>
            <w:r w:rsidR="17F84E99">
              <w:rPr>
                <w:rFonts w:cstheme="minorHAnsi"/>
              </w:rPr>
              <w:t xml:space="preserve"> </w:t>
            </w:r>
            <w:r w:rsidR="00337F2A">
              <w:rPr>
                <w:rFonts w:cstheme="minorHAnsi"/>
                <w:bCs/>
              </w:rPr>
              <w:t>If you are pregnant</w:t>
            </w:r>
            <w:r w:rsidR="00F85FC6">
              <w:rPr>
                <w:rFonts w:cstheme="minorHAnsi"/>
                <w:bCs/>
              </w:rPr>
              <w:t xml:space="preserve"> and using the ring</w:t>
            </w:r>
            <w:r w:rsidR="00337F2A">
              <w:rPr>
                <w:rFonts w:cstheme="minorHAnsi"/>
                <w:bCs/>
              </w:rPr>
              <w:t>, you should remove the ring if you begin experiencing active labor</w:t>
            </w:r>
            <w:r w:rsidR="00EF76DA">
              <w:rPr>
                <w:rFonts w:cstheme="minorHAnsi"/>
                <w:bCs/>
              </w:rPr>
              <w:t xml:space="preserve"> or</w:t>
            </w:r>
            <w:r w:rsidR="00337F2A">
              <w:rPr>
                <w:rFonts w:cstheme="minorHAnsi"/>
                <w:bCs/>
              </w:rPr>
              <w:t xml:space="preserve"> vaginal bleeding or </w:t>
            </w:r>
            <w:r w:rsidR="00EF76DA">
              <w:rPr>
                <w:rFonts w:cstheme="minorHAnsi"/>
                <w:bCs/>
              </w:rPr>
              <w:t xml:space="preserve">if </w:t>
            </w:r>
            <w:r w:rsidR="00337F2A">
              <w:rPr>
                <w:rFonts w:cstheme="minorHAnsi"/>
                <w:bCs/>
              </w:rPr>
              <w:t xml:space="preserve">your water breaks. </w:t>
            </w:r>
          </w:p>
          <w:p w14:paraId="33CDF5AF" w14:textId="391A8021" w:rsidR="00CE7F3F" w:rsidRPr="00C901D0" w:rsidRDefault="17F84E99" w:rsidP="00CE7F3F">
            <w:pPr>
              <w:spacing w:after="120"/>
              <w:rPr>
                <w:color w:val="000000" w:themeColor="text1"/>
              </w:rPr>
            </w:pPr>
            <w:r w:rsidRPr="56D00486">
              <w:rPr>
                <w:color w:val="000000" w:themeColor="text1"/>
              </w:rPr>
              <w:t xml:space="preserve">CAB PrEP can stay in your system for </w:t>
            </w:r>
            <w:r w:rsidR="00EF76DA">
              <w:rPr>
                <w:color w:val="000000" w:themeColor="text1"/>
              </w:rPr>
              <w:t>12</w:t>
            </w:r>
            <w:r w:rsidR="28957A65" w:rsidRPr="56D00486">
              <w:rPr>
                <w:color w:val="000000" w:themeColor="text1"/>
              </w:rPr>
              <w:t xml:space="preserve"> months</w:t>
            </w:r>
            <w:r w:rsidRPr="56D00486">
              <w:rPr>
                <w:color w:val="000000" w:themeColor="text1"/>
              </w:rPr>
              <w:t xml:space="preserve"> or longer after you stop injections</w:t>
            </w:r>
            <w:r w:rsidR="00E1115D">
              <w:rPr>
                <w:color w:val="000000" w:themeColor="text1"/>
              </w:rPr>
              <w:t>. I</w:t>
            </w:r>
            <w:r w:rsidR="0E068836" w:rsidRPr="56D00486">
              <w:rPr>
                <w:color w:val="000000" w:themeColor="text1"/>
              </w:rPr>
              <w:t xml:space="preserve">f you think you might </w:t>
            </w:r>
            <w:r w:rsidR="5FDEA4DF" w:rsidRPr="56D00486">
              <w:rPr>
                <w:color w:val="000000" w:themeColor="text1"/>
              </w:rPr>
              <w:t xml:space="preserve">have the potential or want to become pregnant </w:t>
            </w:r>
            <w:r w:rsidR="188E4D95" w:rsidRPr="56D00486">
              <w:rPr>
                <w:color w:val="000000" w:themeColor="text1"/>
              </w:rPr>
              <w:t xml:space="preserve">after </w:t>
            </w:r>
            <w:r w:rsidR="5FDEA4DF" w:rsidRPr="56D00486">
              <w:rPr>
                <w:color w:val="000000" w:themeColor="text1"/>
              </w:rPr>
              <w:t xml:space="preserve">stopping CAB PrEP, we </w:t>
            </w:r>
            <w:r w:rsidR="6A5218AB" w:rsidRPr="56D00486">
              <w:rPr>
                <w:color w:val="000000" w:themeColor="text1"/>
              </w:rPr>
              <w:t xml:space="preserve">should discuss </w:t>
            </w:r>
            <w:r w:rsidR="188E4D95" w:rsidRPr="56D00486">
              <w:rPr>
                <w:color w:val="000000" w:themeColor="text1"/>
              </w:rPr>
              <w:t>the risks and benefits of CAB PrEP use</w:t>
            </w:r>
            <w:r w:rsidR="5CE9AAD7" w:rsidRPr="56D00486">
              <w:rPr>
                <w:color w:val="000000" w:themeColor="text1"/>
              </w:rPr>
              <w:t>.</w:t>
            </w:r>
          </w:p>
          <w:p w14:paraId="1636E0F5" w14:textId="1439457F" w:rsidR="004F0723" w:rsidRPr="00606B35" w:rsidRDefault="00A07B45" w:rsidP="00DD508F">
            <w:pPr>
              <w:spacing w:after="120"/>
            </w:pPr>
            <w:r w:rsidRPr="0294A27B">
              <w:rPr>
                <w:rFonts w:eastAsiaTheme="minorEastAsia"/>
                <w:b/>
              </w:rPr>
              <w:t>PROVIDER NOTE</w:t>
            </w:r>
            <w:r w:rsidR="004F0723" w:rsidRPr="0294A27B">
              <w:rPr>
                <w:rFonts w:eastAsiaTheme="minorEastAsia"/>
                <w:b/>
              </w:rPr>
              <w:t>:</w:t>
            </w:r>
            <w:r w:rsidR="004F0723" w:rsidRPr="0294A27B">
              <w:rPr>
                <w:rFonts w:eastAsiaTheme="minorEastAsia"/>
              </w:rPr>
              <w:t xml:space="preserve"> If a client is pregnant, link </w:t>
            </w:r>
            <w:r w:rsidR="0027782B">
              <w:rPr>
                <w:rFonts w:eastAsiaTheme="minorEastAsia"/>
              </w:rPr>
              <w:t xml:space="preserve">them </w:t>
            </w:r>
            <w:r w:rsidR="004F0723" w:rsidRPr="0294A27B">
              <w:rPr>
                <w:rFonts w:eastAsiaTheme="minorEastAsia"/>
              </w:rPr>
              <w:t>to antenatal care</w:t>
            </w:r>
            <w:r w:rsidR="00DF7D84" w:rsidRPr="0294A27B">
              <w:rPr>
                <w:rFonts w:eastAsiaTheme="minorEastAsia"/>
              </w:rPr>
              <w:t xml:space="preserve"> or</w:t>
            </w:r>
            <w:r w:rsidR="004F0723" w:rsidRPr="0294A27B">
              <w:rPr>
                <w:rFonts w:eastAsiaTheme="minorEastAsia"/>
              </w:rPr>
              <w:t xml:space="preserve"> pregnancy options counseling (</w:t>
            </w:r>
            <w:r w:rsidR="004F0723" w:rsidRPr="0294A27B">
              <w:rPr>
                <w:color w:val="000000" w:themeColor="text1"/>
              </w:rPr>
              <w:t xml:space="preserve">see </w:t>
            </w:r>
            <w:r w:rsidR="004F0723" w:rsidRPr="0294A27B">
              <w:rPr>
                <w:i/>
                <w:color w:val="000000" w:themeColor="text1"/>
              </w:rPr>
              <w:t xml:space="preserve">Management of Clients in Specific Situations </w:t>
            </w:r>
            <w:r w:rsidR="004F0723" w:rsidRPr="0294A27B">
              <w:rPr>
                <w:color w:val="000000" w:themeColor="text1"/>
              </w:rPr>
              <w:t>above for more information on PrEP for clients who are pregnant or breastfeeding</w:t>
            </w:r>
            <w:r w:rsidR="00FF1449">
              <w:rPr>
                <w:color w:val="000000" w:themeColor="text1"/>
              </w:rPr>
              <w:t xml:space="preserve"> and refer to national guidance</w:t>
            </w:r>
            <w:r w:rsidR="004F0723" w:rsidRPr="0294A27B">
              <w:rPr>
                <w:color w:val="000000" w:themeColor="text1"/>
              </w:rPr>
              <w:t>).</w:t>
            </w:r>
            <w:r w:rsidR="003C3ED8">
              <w:rPr>
                <w:color w:val="000000" w:themeColor="text1"/>
              </w:rPr>
              <w:t xml:space="preserve"> </w:t>
            </w:r>
          </w:p>
        </w:tc>
      </w:tr>
      <w:tr w:rsidR="004F0723" w:rsidRPr="00606B35" w14:paraId="45A5EC7C" w14:textId="77777777" w:rsidTr="52CC4247">
        <w:trPr>
          <w:trHeight w:val="575"/>
        </w:trPr>
        <w:tc>
          <w:tcPr>
            <w:tcW w:w="1843" w:type="dxa"/>
          </w:tcPr>
          <w:p w14:paraId="4D7F9258" w14:textId="4277F107" w:rsidR="004F0723" w:rsidRPr="00606B35" w:rsidRDefault="1E2E8B57" w:rsidP="56D00486">
            <w:pPr>
              <w:spacing w:after="120"/>
            </w:pPr>
            <w:r w:rsidRPr="56D00486">
              <w:t>No STI prevention other than HIV</w:t>
            </w:r>
          </w:p>
        </w:tc>
        <w:tc>
          <w:tcPr>
            <w:tcW w:w="8682" w:type="dxa"/>
          </w:tcPr>
          <w:p w14:paraId="321E0B58" w14:textId="05FC090B" w:rsidR="004F0723" w:rsidRPr="00606B35" w:rsidRDefault="004F0723" w:rsidP="00DD508F">
            <w:pPr>
              <w:spacing w:after="120"/>
            </w:pPr>
            <w:r w:rsidRPr="0294A27B">
              <w:t xml:space="preserve">PrEP </w:t>
            </w:r>
            <w:r w:rsidR="008F6D83">
              <w:t xml:space="preserve">reduces the likelihood of HIV acquisition but </w:t>
            </w:r>
            <w:r w:rsidRPr="0294A27B">
              <w:t xml:space="preserve">does not prevent any </w:t>
            </w:r>
            <w:r w:rsidR="008F6D83">
              <w:t xml:space="preserve">other </w:t>
            </w:r>
            <w:r w:rsidR="008C5439">
              <w:t>sexually transmitted infections (</w:t>
            </w:r>
            <w:r w:rsidRPr="0294A27B">
              <w:t>STIs</w:t>
            </w:r>
            <w:r w:rsidR="008C5439">
              <w:t>)</w:t>
            </w:r>
            <w:r w:rsidRPr="0294A27B">
              <w:t>. To prevent other STIs, use a condom</w:t>
            </w:r>
            <w:r w:rsidR="00155875" w:rsidRPr="0294A27B">
              <w:t xml:space="preserve"> and</w:t>
            </w:r>
            <w:r w:rsidR="008479C4">
              <w:t xml:space="preserve"> if needed, </w:t>
            </w:r>
            <w:r w:rsidRPr="0294A27B">
              <w:t>condom-compatible lubricant</w:t>
            </w:r>
            <w:r w:rsidR="008479C4">
              <w:t>,</w:t>
            </w:r>
            <w:r w:rsidRPr="0294A27B">
              <w:t xml:space="preserve"> correctly whenever you have sex. </w:t>
            </w:r>
            <w:r w:rsidR="00FD536C">
              <w:t xml:space="preserve">It is important to </w:t>
            </w:r>
            <w:r w:rsidR="004C2BE9">
              <w:t>regularly test for STIs</w:t>
            </w:r>
            <w:r w:rsidR="00DC2309">
              <w:t>, especially if you are not able to use condoms consistently.</w:t>
            </w:r>
            <w:r w:rsidR="0059486B">
              <w:rPr>
                <w:rStyle w:val="FootnoteReference"/>
              </w:rPr>
              <w:footnoteReference w:id="42"/>
            </w:r>
            <w:r w:rsidR="00DC2309">
              <w:t xml:space="preserve"> </w:t>
            </w:r>
            <w:r w:rsidRPr="0294A27B">
              <w:t>If you experience discharge from the penis or the vagina that has a bad odor, causes irritation</w:t>
            </w:r>
            <w:r w:rsidR="00A91108" w:rsidRPr="0294A27B">
              <w:t>,</w:t>
            </w:r>
            <w:r w:rsidRPr="0294A27B">
              <w:t xml:space="preserve"> or is a different color/amount than usual</w:t>
            </w:r>
            <w:r w:rsidR="006C004F" w:rsidRPr="0294A27B">
              <w:t>;</w:t>
            </w:r>
            <w:r w:rsidRPr="0294A27B">
              <w:t xml:space="preserve"> bleeding that is not your period</w:t>
            </w:r>
            <w:r w:rsidR="006C4861" w:rsidRPr="0294A27B">
              <w:t>; or</w:t>
            </w:r>
            <w:r w:rsidRPr="0294A27B">
              <w:t xml:space="preserve"> bumps, warts, swelling, redness, rash</w:t>
            </w:r>
            <w:r w:rsidR="006C4861" w:rsidRPr="0294A27B">
              <w:t>,</w:t>
            </w:r>
            <w:r w:rsidRPr="0294A27B">
              <w:t xml:space="preserve"> or severe itching on or near your genitals, mouth, or anus, these could be signs that you may have an STI and should see a health</w:t>
            </w:r>
            <w:r w:rsidR="006C4861" w:rsidRPr="0294A27B">
              <w:t xml:space="preserve"> </w:t>
            </w:r>
            <w:r w:rsidRPr="0294A27B">
              <w:t>care provider as soon as possible and abstain from sexual contact if you can.</w:t>
            </w:r>
          </w:p>
        </w:tc>
      </w:tr>
      <w:tr w:rsidR="00822109" w:rsidRPr="00606B35" w14:paraId="149022E0" w14:textId="77777777" w:rsidTr="52CC4247">
        <w:trPr>
          <w:trHeight w:val="80"/>
        </w:trPr>
        <w:tc>
          <w:tcPr>
            <w:tcW w:w="1843" w:type="dxa"/>
          </w:tcPr>
          <w:p w14:paraId="3BF2EA0B" w14:textId="5465BE68" w:rsidR="00822109" w:rsidRPr="00606B35" w:rsidRDefault="00822109" w:rsidP="00DD508F">
            <w:pPr>
              <w:spacing w:after="120"/>
              <w:rPr>
                <w:rFonts w:cstheme="minorHAnsi"/>
              </w:rPr>
            </w:pPr>
            <w:r w:rsidRPr="00606B35">
              <w:rPr>
                <w:rFonts w:cstheme="minorHAnsi"/>
              </w:rPr>
              <w:t>Side effects</w:t>
            </w:r>
          </w:p>
        </w:tc>
        <w:tc>
          <w:tcPr>
            <w:tcW w:w="8682" w:type="dxa"/>
          </w:tcPr>
          <w:p w14:paraId="20B0B3C2" w14:textId="6137C8DC" w:rsidR="00822109" w:rsidRDefault="00CE12A7" w:rsidP="00DD508F">
            <w:pPr>
              <w:spacing w:after="120"/>
            </w:pPr>
            <w:r w:rsidRPr="00765AF8">
              <w:rPr>
                <w:b/>
                <w:bCs/>
              </w:rPr>
              <w:t>Oral PrEP:</w:t>
            </w:r>
            <w:r>
              <w:t xml:space="preserve"> </w:t>
            </w:r>
            <w:r w:rsidR="00351C3A">
              <w:t>Few</w:t>
            </w:r>
            <w:r w:rsidR="001D2F1F" w:rsidRPr="00606B35">
              <w:t xml:space="preserve"> people using oral PrEP experience side effects. </w:t>
            </w:r>
            <w:r w:rsidR="00822109" w:rsidRPr="10A43560">
              <w:t xml:space="preserve">Those who do will </w:t>
            </w:r>
            <w:r w:rsidR="001D358E" w:rsidRPr="10A43560">
              <w:t xml:space="preserve">typically </w:t>
            </w:r>
            <w:r w:rsidR="00822109" w:rsidRPr="10A43560">
              <w:t xml:space="preserve">experience only mild side effects, </w:t>
            </w:r>
            <w:r w:rsidR="00474734" w:rsidRPr="10A43560">
              <w:t>including</w:t>
            </w:r>
            <w:r w:rsidR="00822109" w:rsidRPr="10A43560">
              <w:t> </w:t>
            </w:r>
            <w:r w:rsidR="00222C9E" w:rsidRPr="10A43560">
              <w:t>g</w:t>
            </w:r>
            <w:r w:rsidR="00822109" w:rsidRPr="10A43560">
              <w:t xml:space="preserve">astrointestinal symptoms (diarrhea and nausea, </w:t>
            </w:r>
            <w:r w:rsidR="00822109" w:rsidRPr="10A43560">
              <w:lastRenderedPageBreak/>
              <w:t>decreased appetite, abdominal cramping, and flatulence)</w:t>
            </w:r>
            <w:r w:rsidR="00222C9E" w:rsidRPr="10A43560">
              <w:t>, d</w:t>
            </w:r>
            <w:r w:rsidR="00822109" w:rsidRPr="10A43560">
              <w:t>izziness</w:t>
            </w:r>
            <w:r w:rsidR="00222C9E" w:rsidRPr="10A43560">
              <w:t>, and h</w:t>
            </w:r>
            <w:r w:rsidR="00822109" w:rsidRPr="10A43560">
              <w:t>eadaches</w:t>
            </w:r>
            <w:r w:rsidR="00A46EAB" w:rsidRPr="10A43560">
              <w:t xml:space="preserve">. </w:t>
            </w:r>
            <w:r w:rsidR="00822109" w:rsidRPr="10A43560">
              <w:t xml:space="preserve">Most of those side effects disappear within one month. However, </w:t>
            </w:r>
            <w:r w:rsidR="00F63E4B" w:rsidRPr="10A43560">
              <w:t>I</w:t>
            </w:r>
            <w:r w:rsidR="00822109" w:rsidRPr="10A43560">
              <w:t xml:space="preserve"> can help you manage them. </w:t>
            </w:r>
          </w:p>
          <w:p w14:paraId="14280AA6" w14:textId="05F44BAD" w:rsidR="0069086A" w:rsidRDefault="00CE12A7" w:rsidP="00DD508F">
            <w:pPr>
              <w:spacing w:after="120"/>
            </w:pPr>
            <w:r w:rsidRPr="00765AF8">
              <w:rPr>
                <w:b/>
                <w:bCs/>
              </w:rPr>
              <w:t>CAB PrEP:</w:t>
            </w:r>
            <w:r>
              <w:t xml:space="preserve"> Some people</w:t>
            </w:r>
            <w:r w:rsidR="00070F0B">
              <w:t xml:space="preserve"> who use CAB PrEP</w:t>
            </w:r>
            <w:r>
              <w:t xml:space="preserve"> may experience side effects. Side effects while using CAB PrEP are usually mild and can include headache, nausea, diarrhea, and tiredness. Mild or moderate</w:t>
            </w:r>
            <w:r w:rsidR="00070F0B">
              <w:t xml:space="preserve"> </w:t>
            </w:r>
            <w:r w:rsidR="0069086A">
              <w:t>injection site rea</w:t>
            </w:r>
            <w:r w:rsidR="008A6A7D">
              <w:t xml:space="preserve">ctions are </w:t>
            </w:r>
            <w:r>
              <w:t xml:space="preserve">also possible, becoming less frequent over time. These </w:t>
            </w:r>
            <w:r w:rsidR="00C6771D">
              <w:t xml:space="preserve">reactions </w:t>
            </w:r>
            <w:r>
              <w:t>can include redness, pain, and swelling at the injection site.</w:t>
            </w:r>
            <w:r w:rsidR="001A300F">
              <w:t xml:space="preserve"> </w:t>
            </w:r>
            <w:r w:rsidR="002867F1">
              <w:t>I</w:t>
            </w:r>
            <w:r w:rsidR="00F5329F">
              <w:t xml:space="preserve">f </w:t>
            </w:r>
            <w:r w:rsidR="001A300F">
              <w:t>having</w:t>
            </w:r>
            <w:r w:rsidR="00F5329F">
              <w:t xml:space="preserve"> a visible </w:t>
            </w:r>
            <w:r>
              <w:t>injection site reaction</w:t>
            </w:r>
            <w:r w:rsidR="00F5329F">
              <w:t xml:space="preserve"> is of concern for you, please let me know and we can discuss</w:t>
            </w:r>
            <w:r w:rsidR="00B149ED">
              <w:t xml:space="preserve"> ways to approach this for you. </w:t>
            </w:r>
            <w:r w:rsidR="007D1C67">
              <w:t>S</w:t>
            </w:r>
            <w:r>
              <w:t>ome people may also experience depressive disorders while using CAB PrEP</w:t>
            </w:r>
            <w:r w:rsidR="007D1C67">
              <w:t>, although these are uncommon</w:t>
            </w:r>
            <w:r>
              <w:t xml:space="preserve">. If you experience changes in how you’re feeling emotionally, let me know so we can discuss how to get you the support you need. </w:t>
            </w:r>
          </w:p>
          <w:p w14:paraId="59DF589C" w14:textId="5FDABA8C" w:rsidR="00C84946" w:rsidRDefault="2974BCE7" w:rsidP="00A5745E">
            <w:pPr>
              <w:spacing w:after="120"/>
            </w:pPr>
            <w:r w:rsidRPr="00765AF8">
              <w:rPr>
                <w:b/>
                <w:bCs/>
              </w:rPr>
              <w:t>PrEP Ring:</w:t>
            </w:r>
            <w:r>
              <w:t xml:space="preserve"> Some people who use the PrEP ring may experience side effects. Typically, these are </w:t>
            </w:r>
            <w:r w:rsidR="483E9B32">
              <w:t>mild</w:t>
            </w:r>
            <w:r w:rsidR="005C7D4C">
              <w:t xml:space="preserve"> and include</w:t>
            </w:r>
            <w:r w:rsidR="00A2458D">
              <w:t xml:space="preserve"> </w:t>
            </w:r>
            <w:r w:rsidR="009B054E">
              <w:t>urinary tract infections (</w:t>
            </w:r>
            <w:r w:rsidR="7288D75D">
              <w:t>UTIs</w:t>
            </w:r>
            <w:r w:rsidR="009B054E">
              <w:t>)</w:t>
            </w:r>
            <w:r w:rsidR="7288D75D">
              <w:t xml:space="preserve">, vaginal discharge, vulvar itching, and/or pelvic and lower abdominal pain. </w:t>
            </w:r>
          </w:p>
          <w:p w14:paraId="1ABE913B" w14:textId="77777777" w:rsidR="00C84946" w:rsidRDefault="00A5745E" w:rsidP="00DD508F">
            <w:pPr>
              <w:spacing w:after="120"/>
            </w:pPr>
            <w:r w:rsidRPr="00606B35">
              <w:t>Contact me</w:t>
            </w:r>
            <w:r w:rsidRPr="00606B35" w:rsidDel="002B473C">
              <w:t xml:space="preserve"> if </w:t>
            </w:r>
            <w:r w:rsidRPr="00606B35">
              <w:t>you</w:t>
            </w:r>
            <w:r w:rsidRPr="00606B35" w:rsidDel="002B473C">
              <w:t xml:space="preserve"> experience any urinary or reproductive tract changes, as these could be a sign of an STI or UTI needing treatment. </w:t>
            </w:r>
          </w:p>
          <w:p w14:paraId="3B5E8537" w14:textId="31819E21" w:rsidR="00AD3A40" w:rsidRDefault="00AD3A40" w:rsidP="00DD508F">
            <w:pPr>
              <w:spacing w:after="120"/>
            </w:pPr>
            <w:r>
              <w:t xml:space="preserve">Some people taking PrEP report </w:t>
            </w:r>
            <w:r w:rsidR="004C3660">
              <w:t>positive</w:t>
            </w:r>
            <w:r w:rsidR="00EE2A91">
              <w:t xml:space="preserve"> effects on physical, emotional, or </w:t>
            </w:r>
            <w:r w:rsidR="002D663D">
              <w:t xml:space="preserve">mental </w:t>
            </w:r>
            <w:r w:rsidR="00EE2A91">
              <w:t xml:space="preserve">wellbeing. These include </w:t>
            </w:r>
            <w:r w:rsidR="00DF2DBD">
              <w:t xml:space="preserve">increased </w:t>
            </w:r>
            <w:r w:rsidR="002D663D">
              <w:t>feeling of</w:t>
            </w:r>
            <w:r w:rsidR="00DF2DBD">
              <w:t xml:space="preserve"> control over </w:t>
            </w:r>
            <w:r w:rsidR="002D663D">
              <w:t xml:space="preserve">one’s </w:t>
            </w:r>
            <w:r w:rsidR="00DF2DBD">
              <w:t>health</w:t>
            </w:r>
            <w:r w:rsidR="0079206F">
              <w:t xml:space="preserve"> and community belonging</w:t>
            </w:r>
            <w:r w:rsidR="00AC6386">
              <w:t xml:space="preserve">, </w:t>
            </w:r>
            <w:r w:rsidR="00B27034">
              <w:t xml:space="preserve">and </w:t>
            </w:r>
            <w:r w:rsidR="00AC6386">
              <w:t xml:space="preserve">reduced anxiety </w:t>
            </w:r>
            <w:r w:rsidR="00B27034">
              <w:t xml:space="preserve">as fear of HIV acquisition </w:t>
            </w:r>
            <w:r w:rsidR="00197CF5">
              <w:t>has decreased with PrEP use</w:t>
            </w:r>
            <w:r w:rsidR="00B27034">
              <w:t xml:space="preserve">. </w:t>
            </w:r>
          </w:p>
          <w:p w14:paraId="71098069" w14:textId="3D6A36DE" w:rsidR="00107322" w:rsidRPr="00606B35" w:rsidRDefault="00107322" w:rsidP="00DD508F">
            <w:pPr>
              <w:spacing w:after="120"/>
            </w:pPr>
          </w:p>
        </w:tc>
      </w:tr>
      <w:tr w:rsidR="00107322" w:rsidRPr="00606B35" w14:paraId="1649F470" w14:textId="77777777" w:rsidTr="52CC4247">
        <w:trPr>
          <w:trHeight w:val="80"/>
        </w:trPr>
        <w:tc>
          <w:tcPr>
            <w:tcW w:w="1843" w:type="dxa"/>
          </w:tcPr>
          <w:p w14:paraId="1DDF2AFE" w14:textId="00008BFB" w:rsidR="00107322" w:rsidRPr="00606B35" w:rsidRDefault="00107322" w:rsidP="00107322">
            <w:pPr>
              <w:spacing w:after="120"/>
              <w:rPr>
                <w:rFonts w:cstheme="minorHAnsi"/>
              </w:rPr>
            </w:pPr>
            <w:r w:rsidRPr="00606B35">
              <w:rPr>
                <w:rFonts w:cstheme="minorHAnsi"/>
              </w:rPr>
              <w:lastRenderedPageBreak/>
              <w:t>Switching between HIV prevention options</w:t>
            </w:r>
          </w:p>
        </w:tc>
        <w:tc>
          <w:tcPr>
            <w:tcW w:w="8682" w:type="dxa"/>
          </w:tcPr>
          <w:p w14:paraId="3006CBD7" w14:textId="77777777" w:rsidR="00107322" w:rsidRPr="00606B35" w:rsidRDefault="00107322" w:rsidP="00107322">
            <w:pPr>
              <w:spacing w:after="120"/>
            </w:pPr>
            <w:r w:rsidRPr="0294A27B">
              <w:t>It is okay to start one PrEP method now and decide later that you want to use another PrEP method or another HIV prevention strategy. Many people switch between methods as their needs change. I am here to help you make the best decision for you.</w:t>
            </w:r>
          </w:p>
          <w:p w14:paraId="0FC6BEAB" w14:textId="77777777" w:rsidR="00107322" w:rsidRPr="00606B35" w:rsidRDefault="00107322" w:rsidP="00107322">
            <w:pPr>
              <w:spacing w:after="120"/>
              <w:rPr>
                <w:rFonts w:cstheme="minorHAnsi"/>
              </w:rPr>
            </w:pPr>
            <w:r w:rsidRPr="00606B35">
              <w:rPr>
                <w:rFonts w:cstheme="minorHAnsi"/>
              </w:rPr>
              <w:t xml:space="preserve">Some other strategies to prevent HIV include: </w:t>
            </w:r>
          </w:p>
          <w:p w14:paraId="568D52ED" w14:textId="77777777" w:rsidR="00107322" w:rsidRPr="00606B35" w:rsidRDefault="00107322" w:rsidP="00107322">
            <w:pPr>
              <w:pStyle w:val="ListParagraph"/>
              <w:numPr>
                <w:ilvl w:val="0"/>
                <w:numId w:val="11"/>
              </w:numPr>
              <w:spacing w:after="120"/>
            </w:pPr>
            <w:r w:rsidRPr="10A43560">
              <w:t xml:space="preserve">Using condoms and </w:t>
            </w:r>
            <w:r w:rsidRPr="10A43560">
              <w:rPr>
                <w:color w:val="000000" w:themeColor="text1"/>
              </w:rPr>
              <w:t xml:space="preserve">condom-compatible </w:t>
            </w:r>
            <w:r w:rsidRPr="10A43560">
              <w:t>lubricant consistently</w:t>
            </w:r>
          </w:p>
          <w:p w14:paraId="06B33FC5" w14:textId="178A0124" w:rsidR="00107322" w:rsidRPr="00606B35" w:rsidRDefault="00107322" w:rsidP="00107322">
            <w:pPr>
              <w:pStyle w:val="ListParagraph"/>
              <w:numPr>
                <w:ilvl w:val="0"/>
                <w:numId w:val="11"/>
              </w:numPr>
              <w:spacing w:after="120"/>
            </w:pPr>
            <w:r w:rsidRPr="3CA523C6">
              <w:t xml:space="preserve">Accessing </w:t>
            </w:r>
            <w:r w:rsidR="00807970">
              <w:t>PEP</w:t>
            </w:r>
            <w:r w:rsidRPr="3CA523C6">
              <w:t xml:space="preserve"> as early as possible, ideally within </w:t>
            </w:r>
            <w:r w:rsidR="00415737">
              <w:t xml:space="preserve">24 hours but not later than </w:t>
            </w:r>
            <w:r w:rsidRPr="3CA523C6">
              <w:t>72 hours of potential exposure to HIV</w:t>
            </w:r>
          </w:p>
          <w:p w14:paraId="25A20ABC" w14:textId="113A6EF3" w:rsidR="00107322" w:rsidRPr="00606B35" w:rsidRDefault="00107322" w:rsidP="00107322">
            <w:pPr>
              <w:pStyle w:val="ListParagraph"/>
              <w:numPr>
                <w:ilvl w:val="0"/>
                <w:numId w:val="11"/>
              </w:numPr>
              <w:spacing w:after="120"/>
              <w:contextualSpacing w:val="0"/>
              <w:rPr>
                <w:rFonts w:cstheme="minorHAnsi"/>
              </w:rPr>
            </w:pPr>
            <w:r w:rsidRPr="00606B35">
              <w:rPr>
                <w:rFonts w:cstheme="minorHAnsi"/>
              </w:rPr>
              <w:t xml:space="preserve">Having other types of sex that come with </w:t>
            </w:r>
            <w:r>
              <w:rPr>
                <w:rFonts w:cstheme="minorHAnsi"/>
              </w:rPr>
              <w:t>no or nearly no</w:t>
            </w:r>
            <w:r w:rsidRPr="00606B35">
              <w:rPr>
                <w:rFonts w:cstheme="minorHAnsi"/>
              </w:rPr>
              <w:t xml:space="preserve"> likelihood of HIV acquisition (such as mutual masturbation</w:t>
            </w:r>
            <w:r>
              <w:rPr>
                <w:rFonts w:cstheme="minorHAnsi"/>
              </w:rPr>
              <w:t xml:space="preserve"> or oral sex</w:t>
            </w:r>
            <w:r w:rsidRPr="00606B35">
              <w:rPr>
                <w:rFonts w:cstheme="minorHAnsi"/>
              </w:rPr>
              <w:t>)</w:t>
            </w:r>
          </w:p>
          <w:p w14:paraId="5482A18B" w14:textId="6762E30A" w:rsidR="00107322" w:rsidRPr="00606B35" w:rsidRDefault="00107322" w:rsidP="00107322">
            <w:pPr>
              <w:numPr>
                <w:ilvl w:val="0"/>
                <w:numId w:val="11"/>
              </w:numPr>
              <w:spacing w:after="120"/>
            </w:pPr>
            <w:r w:rsidRPr="7B11D7E5">
              <w:t>Receiving screening, diagnosis, and treatment for other STIs (</w:t>
            </w:r>
            <w:r>
              <w:t>left untreated, other STIs</w:t>
            </w:r>
            <w:r w:rsidRPr="7B11D7E5">
              <w:t xml:space="preserve"> can </w:t>
            </w:r>
            <w:r w:rsidRPr="4F1C16FA">
              <w:t xml:space="preserve">increase </w:t>
            </w:r>
            <w:r>
              <w:t xml:space="preserve">the </w:t>
            </w:r>
            <w:r w:rsidRPr="70C2828F">
              <w:t xml:space="preserve">likelihood of HIV </w:t>
            </w:r>
            <w:r w:rsidRPr="796D1DDF">
              <w:t xml:space="preserve">acquisition when </w:t>
            </w:r>
            <w:r w:rsidRPr="703B2562">
              <w:t>exposed to HIV)</w:t>
            </w:r>
          </w:p>
          <w:p w14:paraId="327C23C5" w14:textId="77777777" w:rsidR="00107322" w:rsidRPr="00606B35" w:rsidRDefault="00107322" w:rsidP="00107322">
            <w:pPr>
              <w:numPr>
                <w:ilvl w:val="0"/>
                <w:numId w:val="11"/>
              </w:numPr>
              <w:spacing w:after="120"/>
              <w:rPr>
                <w:rFonts w:cstheme="minorHAnsi"/>
              </w:rPr>
            </w:pPr>
            <w:r w:rsidRPr="00606B35">
              <w:rPr>
                <w:rFonts w:cstheme="minorHAnsi"/>
              </w:rPr>
              <w:t>Receiving voluntary medical male circumcision</w:t>
            </w:r>
          </w:p>
          <w:p w14:paraId="5F7500F9" w14:textId="12EA8ABD" w:rsidR="00107322" w:rsidRPr="00606B35" w:rsidRDefault="00107322" w:rsidP="00107322">
            <w:pPr>
              <w:numPr>
                <w:ilvl w:val="0"/>
                <w:numId w:val="11"/>
              </w:numPr>
              <w:spacing w:after="120"/>
              <w:rPr>
                <w:rFonts w:cstheme="minorHAnsi"/>
              </w:rPr>
            </w:pPr>
            <w:r>
              <w:rPr>
                <w:rFonts w:cstheme="minorHAnsi"/>
              </w:rPr>
              <w:t xml:space="preserve">Having fewer </w:t>
            </w:r>
            <w:r w:rsidRPr="00606B35">
              <w:rPr>
                <w:rFonts w:cstheme="minorHAnsi"/>
              </w:rPr>
              <w:t>sexual partners</w:t>
            </w:r>
          </w:p>
          <w:p w14:paraId="6802340B" w14:textId="0E75E164" w:rsidR="00107322" w:rsidRPr="00AC7CC7" w:rsidRDefault="00107322" w:rsidP="00107322">
            <w:pPr>
              <w:numPr>
                <w:ilvl w:val="0"/>
                <w:numId w:val="11"/>
              </w:numPr>
              <w:spacing w:after="120"/>
              <w:rPr>
                <w:rFonts w:cstheme="minorHAnsi"/>
              </w:rPr>
            </w:pPr>
            <w:r w:rsidRPr="00606B35">
              <w:rPr>
                <w:rFonts w:cstheme="minorHAnsi"/>
              </w:rPr>
              <w:t xml:space="preserve">Accessing drug harm reduction and treatment services </w:t>
            </w:r>
          </w:p>
          <w:p w14:paraId="158123E0" w14:textId="64B2083C" w:rsidR="00107322" w:rsidRPr="00AC7CC7" w:rsidRDefault="00107322" w:rsidP="00107322">
            <w:pPr>
              <w:numPr>
                <w:ilvl w:val="0"/>
                <w:numId w:val="11"/>
              </w:numPr>
              <w:spacing w:after="120"/>
            </w:pPr>
            <w:r>
              <w:t xml:space="preserve">Ensuring that a partner living with HIV has been on effective ART for at least six months, has an undetectable viral load, and remains adherent to ART </w:t>
            </w:r>
          </w:p>
        </w:tc>
      </w:tr>
      <w:tr w:rsidR="00107322" w:rsidRPr="00606B35" w14:paraId="653C088A" w14:textId="77777777" w:rsidTr="0014481C">
        <w:trPr>
          <w:cantSplit/>
          <w:trHeight w:val="6588"/>
        </w:trPr>
        <w:tc>
          <w:tcPr>
            <w:tcW w:w="1843" w:type="dxa"/>
          </w:tcPr>
          <w:p w14:paraId="02F4CB1A" w14:textId="43109943" w:rsidR="00107322" w:rsidRPr="00606B35" w:rsidRDefault="00107322" w:rsidP="00107322">
            <w:pPr>
              <w:spacing w:after="120"/>
              <w:rPr>
                <w:rFonts w:cstheme="minorHAnsi"/>
              </w:rPr>
            </w:pPr>
            <w:r w:rsidRPr="00606B35">
              <w:rPr>
                <w:rFonts w:cstheme="minorHAnsi"/>
              </w:rPr>
              <w:lastRenderedPageBreak/>
              <w:t>Follow-up visits </w:t>
            </w:r>
          </w:p>
        </w:tc>
        <w:tc>
          <w:tcPr>
            <w:tcW w:w="8682" w:type="dxa"/>
          </w:tcPr>
          <w:p w14:paraId="6ED4883D" w14:textId="1B76F8CA" w:rsidR="00107322" w:rsidRPr="00606B35" w:rsidRDefault="00107322" w:rsidP="00107322">
            <w:pPr>
              <w:spacing w:after="120"/>
            </w:pPr>
            <w:r>
              <w:t xml:space="preserve">What is required for follow-up visits does vary by method. If you decide to use oral PrEP or the PrEP ring, you will typically have another visit in a month, and then every three months after that. If you choose CAB PrEP, you </w:t>
            </w:r>
            <w:bookmarkStart w:id="76" w:name="_Int_0FJRtHEf"/>
            <w:r>
              <w:t>will</w:t>
            </w:r>
            <w:bookmarkEnd w:id="76"/>
            <w:r>
              <w:t xml:space="preserve"> have another visit in </w:t>
            </w:r>
            <w:r w:rsidR="00E660E5">
              <w:t>one month</w:t>
            </w:r>
            <w:r>
              <w:t xml:space="preserve"> and one every </w:t>
            </w:r>
            <w:r w:rsidR="00E660E5">
              <w:t>two months</w:t>
            </w:r>
            <w:r>
              <w:t xml:space="preserve"> thereafter. It is important that you attend follow-up visits for the following reasons: </w:t>
            </w:r>
          </w:p>
          <w:p w14:paraId="6A7B7163" w14:textId="77777777" w:rsidR="00107322" w:rsidRPr="00606B35" w:rsidRDefault="00107322" w:rsidP="00107322">
            <w:pPr>
              <w:numPr>
                <w:ilvl w:val="0"/>
                <w:numId w:val="12"/>
              </w:numPr>
              <w:spacing w:after="120"/>
              <w:rPr>
                <w:rFonts w:cstheme="minorHAnsi"/>
              </w:rPr>
            </w:pPr>
            <w:r w:rsidRPr="00606B35">
              <w:rPr>
                <w:rFonts w:cstheme="minorHAnsi"/>
              </w:rPr>
              <w:t xml:space="preserve">To get support on </w:t>
            </w:r>
            <w:r>
              <w:rPr>
                <w:rFonts w:cstheme="minorHAnsi"/>
              </w:rPr>
              <w:t>effective use</w:t>
            </w:r>
            <w:r w:rsidRPr="00606B35">
              <w:rPr>
                <w:rFonts w:cstheme="minorHAnsi"/>
              </w:rPr>
              <w:t xml:space="preserve"> and managing side effects and to address other concerns you may have</w:t>
            </w:r>
          </w:p>
          <w:p w14:paraId="1CB9CC17" w14:textId="172207E7" w:rsidR="00107322" w:rsidRPr="00606B35" w:rsidRDefault="00107322" w:rsidP="00107322">
            <w:pPr>
              <w:numPr>
                <w:ilvl w:val="0"/>
                <w:numId w:val="12"/>
              </w:numPr>
              <w:spacing w:after="120"/>
            </w:pPr>
            <w:r w:rsidRPr="1A297A70">
              <w:t xml:space="preserve">To verify your HIV status and, if positive, be referred for </w:t>
            </w:r>
            <w:r w:rsidRPr="2DFDA00A">
              <w:t>effective treatment.</w:t>
            </w:r>
            <w:r w:rsidRPr="1A297A70">
              <w:t xml:space="preserve"> Between now and your next visit, if you experience sore throat, fever, sweats, swollen glands, mouth ulcers, rash, or muscle aches, please contact me or come back here for a follow-up visit.</w:t>
            </w:r>
          </w:p>
          <w:p w14:paraId="1ED76221" w14:textId="77777777" w:rsidR="00107322" w:rsidRPr="00606B35" w:rsidRDefault="00107322" w:rsidP="00107322">
            <w:pPr>
              <w:numPr>
                <w:ilvl w:val="0"/>
                <w:numId w:val="12"/>
              </w:numPr>
              <w:spacing w:after="120"/>
              <w:rPr>
                <w:rFonts w:cstheme="minorHAnsi"/>
              </w:rPr>
            </w:pPr>
            <w:r w:rsidRPr="00606B35">
              <w:rPr>
                <w:rFonts w:cstheme="minorHAnsi"/>
              </w:rPr>
              <w:t>To reduce your likelihood of drug resistance if you have acquired HIV </w:t>
            </w:r>
          </w:p>
          <w:p w14:paraId="48A69075" w14:textId="28D7D8FC" w:rsidR="00107322" w:rsidRPr="00606B35" w:rsidRDefault="00107322" w:rsidP="00107322">
            <w:pPr>
              <w:spacing w:after="120"/>
            </w:pPr>
            <w:r w:rsidRPr="10A43560">
              <w:t>Do you have any upcoming travel, or do you anticipate any other challenges with returning for regular visits that we can discuss and maybe I can help you plan for?</w:t>
            </w:r>
          </w:p>
          <w:tbl>
            <w:tblPr>
              <w:tblW w:w="0" w:type="auto"/>
              <w:tblLook w:val="06A0" w:firstRow="1" w:lastRow="0" w:firstColumn="1" w:lastColumn="0" w:noHBand="1" w:noVBand="1"/>
            </w:tblPr>
            <w:tblGrid>
              <w:gridCol w:w="8460"/>
            </w:tblGrid>
            <w:tr w:rsidR="00107322" w14:paraId="4B0551E7" w14:textId="77777777" w:rsidTr="00361799">
              <w:tc>
                <w:tcPr>
                  <w:tcW w:w="8460" w:type="dxa"/>
                  <w:shd w:val="clear" w:color="auto" w:fill="C5E0B3" w:themeFill="accent6" w:themeFillTint="66"/>
                </w:tcPr>
                <w:p w14:paraId="1DCE1725" w14:textId="157052A1" w:rsidR="00107322" w:rsidRDefault="00107322" w:rsidP="00107322">
                  <w:r w:rsidRPr="00361799">
                    <w:rPr>
                      <w:b/>
                      <w:bCs/>
                    </w:rPr>
                    <w:t>For consideration</w:t>
                  </w:r>
                  <w:r w:rsidRPr="00E55F87">
                    <w:t>:</w:t>
                  </w:r>
                  <w:r>
                    <w:t xml:space="preserve"> Many settings are implementing strategies to reduce the number of times clients using PrEP need to return for follow-up visits while ensuring they have access to ongoing care, including HIV testing. These strategies may include the deployment of community health workers, mobile clinics, pharmacy models, the use of HIV self-testing, and many others. This section may need to be modified based on how differentiated service delivery for clients using PrEP is structured in your country. </w:t>
                  </w:r>
                </w:p>
              </w:tc>
            </w:tr>
          </w:tbl>
          <w:p w14:paraId="04204677" w14:textId="179BD659" w:rsidR="00107322" w:rsidRPr="00606B35" w:rsidRDefault="00107322" w:rsidP="00107322">
            <w:pPr>
              <w:spacing w:after="120"/>
            </w:pPr>
          </w:p>
        </w:tc>
      </w:tr>
      <w:tr w:rsidR="00107322" w:rsidRPr="00606B35" w14:paraId="7C03D019" w14:textId="77777777" w:rsidTr="56D00486">
        <w:trPr>
          <w:trHeight w:val="80"/>
        </w:trPr>
        <w:tc>
          <w:tcPr>
            <w:tcW w:w="10525" w:type="dxa"/>
            <w:gridSpan w:val="2"/>
            <w:shd w:val="clear" w:color="auto" w:fill="D9E2F3" w:themeFill="accent1" w:themeFillTint="33"/>
          </w:tcPr>
          <w:p w14:paraId="357C48DB" w14:textId="64A3D00A" w:rsidR="00107322" w:rsidRPr="00606B35" w:rsidRDefault="00107322" w:rsidP="00107322">
            <w:pPr>
              <w:spacing w:after="120"/>
            </w:pPr>
            <w:r w:rsidRPr="0294A27B">
              <w:rPr>
                <w:b/>
              </w:rPr>
              <w:t>PROVIDER</w:t>
            </w:r>
            <w:r>
              <w:rPr>
                <w:b/>
              </w:rPr>
              <w:t xml:space="preserve"> NOTE</w:t>
            </w:r>
            <w:r w:rsidRPr="0294A27B">
              <w:t xml:space="preserve">: It is likely that the client will have enough information now to make an informed choice about whether they want to use a </w:t>
            </w:r>
            <w:proofErr w:type="gramStart"/>
            <w:r w:rsidRPr="0294A27B">
              <w:t>PrEP</w:t>
            </w:r>
            <w:proofErr w:type="gramEnd"/>
            <w:r w:rsidRPr="0294A27B">
              <w:t xml:space="preserve"> method or not and, if so, which one. You can ask the client which method they prefer, if any, and what outstanding questions they may have, and then continue with the key messages.</w:t>
            </w:r>
          </w:p>
        </w:tc>
      </w:tr>
      <w:tr w:rsidR="00107322" w:rsidRPr="00606B35" w14:paraId="10DDD4D3" w14:textId="77777777" w:rsidTr="52CC4247">
        <w:trPr>
          <w:trHeight w:val="80"/>
        </w:trPr>
        <w:tc>
          <w:tcPr>
            <w:tcW w:w="1843" w:type="dxa"/>
          </w:tcPr>
          <w:p w14:paraId="1CE75FFA" w14:textId="77777777" w:rsidR="00107322" w:rsidRDefault="00107322" w:rsidP="00107322">
            <w:pPr>
              <w:spacing w:after="120"/>
            </w:pPr>
          </w:p>
          <w:p w14:paraId="6BD98763" w14:textId="10BF7B3C" w:rsidR="00107322" w:rsidRPr="00606B35" w:rsidRDefault="00107322" w:rsidP="00107322">
            <w:pPr>
              <w:spacing w:after="120"/>
            </w:pPr>
            <w:r w:rsidRPr="0294A27B">
              <w:t>Discontinuing PrEP use</w:t>
            </w:r>
          </w:p>
        </w:tc>
        <w:tc>
          <w:tcPr>
            <w:tcW w:w="8682" w:type="dxa"/>
          </w:tcPr>
          <w:p w14:paraId="21995D44" w14:textId="77777777" w:rsidR="00107322" w:rsidRDefault="00107322" w:rsidP="00107322">
            <w:pPr>
              <w:spacing w:after="120"/>
            </w:pPr>
          </w:p>
          <w:p w14:paraId="1C410F68" w14:textId="0733865B" w:rsidR="00107322" w:rsidRPr="00606B35" w:rsidRDefault="00107322" w:rsidP="00107322">
            <w:pPr>
              <w:spacing w:after="120"/>
            </w:pPr>
            <w:r w:rsidRPr="00606B35">
              <w:t xml:space="preserve">As we already discussed, PrEP use is </w:t>
            </w:r>
            <w:r>
              <w:t>rarely</w:t>
            </w:r>
            <w:r w:rsidRPr="00606B35">
              <w:t xml:space="preserve"> for life. How long you use PrEP</w:t>
            </w:r>
            <w:r w:rsidRPr="00606B35">
              <w:rPr>
                <w:color w:val="000000" w:themeColor="text1"/>
              </w:rPr>
              <w:t xml:space="preserve"> may vary, and you may start and stop PrEP depending on potential HIV exposures during different periods of your life, including changes in your relationships or behaviors.</w:t>
            </w:r>
            <w:r w:rsidRPr="00606B35">
              <w:t xml:space="preserve"> If you want to stop PrEP use indefinitely, it would be helpful if you let me know</w:t>
            </w:r>
            <w:r>
              <w:t>, and we can discuss necessary next steps relevant to your chosen method</w:t>
            </w:r>
            <w:r w:rsidRPr="00606B35">
              <w:t>. If you decide to restart PrEP later, you can always come back</w:t>
            </w:r>
            <w:r>
              <w:t>,</w:t>
            </w:r>
            <w:r w:rsidRPr="00606B35">
              <w:t xml:space="preserve"> and </w:t>
            </w:r>
            <w:r>
              <w:t xml:space="preserve">then </w:t>
            </w:r>
            <w:r w:rsidRPr="00606B35">
              <w:t>we can discuss the next steps.</w:t>
            </w:r>
          </w:p>
          <w:p w14:paraId="132BC2D3" w14:textId="66BB22D9" w:rsidR="00107322" w:rsidRPr="00606B35" w:rsidRDefault="00107322" w:rsidP="00107322">
            <w:pPr>
              <w:spacing w:after="120"/>
            </w:pPr>
            <w:r w:rsidRPr="10A43560">
              <w:rPr>
                <w:b/>
              </w:rPr>
              <w:t xml:space="preserve">PROVIDER NOTE: </w:t>
            </w:r>
            <w:r w:rsidRPr="10A43560">
              <w:t>Be sure to inform clients about any post-exposure use of PrEP that is needed for their chosen method to effectively stop PrEP use. Encourage ongoing links to appropriate HIV prevention and contraceptive services</w:t>
            </w:r>
            <w:r>
              <w:t xml:space="preserve"> and strategies </w:t>
            </w:r>
            <w:r w:rsidRPr="10A43560">
              <w:t>as needed. Clients with hepatitis B who are using oral PrEP should be referred to relevant management/treatment services</w:t>
            </w:r>
            <w:r>
              <w:t>,</w:t>
            </w:r>
            <w:r w:rsidRPr="10A43560">
              <w:t xml:space="preserve"> because stopping oral PrEP may have implications for the management of hepatitis B. </w:t>
            </w:r>
          </w:p>
        </w:tc>
      </w:tr>
      <w:tr w:rsidR="00107322" w:rsidRPr="00606B35" w14:paraId="42FC43E8" w14:textId="77777777" w:rsidTr="56D00486">
        <w:trPr>
          <w:cantSplit/>
          <w:trHeight w:val="80"/>
        </w:trPr>
        <w:tc>
          <w:tcPr>
            <w:tcW w:w="1843" w:type="dxa"/>
          </w:tcPr>
          <w:p w14:paraId="535ECD5A" w14:textId="2C4526D2" w:rsidR="00107322" w:rsidRPr="00606B35" w:rsidRDefault="00107322" w:rsidP="00107322">
            <w:pPr>
              <w:spacing w:after="120"/>
              <w:rPr>
                <w:rFonts w:cstheme="minorHAnsi"/>
              </w:rPr>
            </w:pPr>
            <w:r w:rsidRPr="00606B35">
              <w:rPr>
                <w:rFonts w:cstheme="minorHAnsi"/>
              </w:rPr>
              <w:lastRenderedPageBreak/>
              <w:t>Partner disclosure</w:t>
            </w:r>
          </w:p>
        </w:tc>
        <w:tc>
          <w:tcPr>
            <w:tcW w:w="8682" w:type="dxa"/>
          </w:tcPr>
          <w:p w14:paraId="3535203E" w14:textId="618054A3" w:rsidR="00107322" w:rsidRPr="00606B35" w:rsidRDefault="00107322" w:rsidP="00107322">
            <w:pPr>
              <w:spacing w:after="120"/>
            </w:pPr>
            <w:r w:rsidRPr="0294A27B">
              <w:t xml:space="preserve">People have different reasons for sharing or not sharing their </w:t>
            </w:r>
            <w:proofErr w:type="gramStart"/>
            <w:r w:rsidRPr="0294A27B">
              <w:t>PrEP</w:t>
            </w:r>
            <w:proofErr w:type="gramEnd"/>
            <w:r w:rsidRPr="0294A27B">
              <w:t xml:space="preserve"> use with their partner(s). Generally, individuals who can disclose their </w:t>
            </w:r>
            <w:proofErr w:type="gramStart"/>
            <w:r w:rsidRPr="0294A27B">
              <w:t>PrEP</w:t>
            </w:r>
            <w:proofErr w:type="gramEnd"/>
            <w:r w:rsidRPr="0294A27B">
              <w:t xml:space="preserve"> use with their partners can use it more effectively. If you</w:t>
            </w:r>
            <w:r w:rsidR="00883141">
              <w:t xml:space="preserve"> w</w:t>
            </w:r>
            <w:r w:rsidR="00360453">
              <w:t>oul</w:t>
            </w:r>
            <w:r w:rsidRPr="0294A27B">
              <w:t xml:space="preserve">d like, we can discuss your thoughts on sharing or not sharing your </w:t>
            </w:r>
            <w:proofErr w:type="gramStart"/>
            <w:r w:rsidRPr="0294A27B">
              <w:t>PrEP</w:t>
            </w:r>
            <w:proofErr w:type="gramEnd"/>
            <w:r w:rsidRPr="0294A27B">
              <w:t xml:space="preserve"> use together. If you choose not to tell your partner, we can also discuss your plan if your partner happens to learn about your </w:t>
            </w:r>
            <w:proofErr w:type="gramStart"/>
            <w:r w:rsidRPr="0294A27B">
              <w:t>PrEP</w:t>
            </w:r>
            <w:proofErr w:type="gramEnd"/>
            <w:r w:rsidRPr="0294A27B">
              <w:t xml:space="preserve"> use.</w:t>
            </w:r>
          </w:p>
          <w:p w14:paraId="28BA2851" w14:textId="4D143F17" w:rsidR="00107322" w:rsidRDefault="00107322" w:rsidP="00107322">
            <w:pPr>
              <w:pBdr>
                <w:top w:val="nil"/>
                <w:left w:val="nil"/>
                <w:bottom w:val="nil"/>
                <w:right w:val="nil"/>
                <w:between w:val="nil"/>
              </w:pBdr>
              <w:spacing w:after="120"/>
            </w:pPr>
            <w:r w:rsidRPr="10A43560">
              <w:rPr>
                <w:b/>
              </w:rPr>
              <w:t xml:space="preserve">PROVIDER NOTE: </w:t>
            </w:r>
            <w:r w:rsidRPr="10A43560">
              <w:t xml:space="preserve">Assess client’s experience of </w:t>
            </w:r>
            <w:r>
              <w:t>gender-based violence (</w:t>
            </w:r>
            <w:r w:rsidRPr="10A43560">
              <w:t>GBV</w:t>
            </w:r>
            <w:r>
              <w:t>)</w:t>
            </w:r>
            <w:r w:rsidRPr="10A43560">
              <w:t xml:space="preserve">, including </w:t>
            </w:r>
            <w:r>
              <w:t>intimate partner violence (</w:t>
            </w:r>
            <w:r w:rsidRPr="10A43560">
              <w:t>IPV</w:t>
            </w:r>
            <w:r>
              <w:t>)</w:t>
            </w:r>
            <w:r w:rsidRPr="10A43560">
              <w:t xml:space="preserve">. </w:t>
            </w:r>
            <w:r w:rsidRPr="10A43560">
              <w:rPr>
                <w:color w:val="000000" w:themeColor="text1"/>
              </w:rPr>
              <w:t xml:space="preserve">If the client discloses that they have experienced or are at risk of GBV, including IPV, provide first-line support and make referrals as appropriate. Discuss how violence and fear of violence affects their potential HIV exposures and prevention behaviors and discuss ways they can stay safe and protect themselves in the context of their relationship(s). </w:t>
            </w:r>
            <w:r w:rsidRPr="10A43560">
              <w:t xml:space="preserve">Although the ring </w:t>
            </w:r>
            <w:r>
              <w:t xml:space="preserve">or CAB PrEP </w:t>
            </w:r>
            <w:r w:rsidRPr="10A43560">
              <w:t>may be option</w:t>
            </w:r>
            <w:r>
              <w:t>s</w:t>
            </w:r>
            <w:r w:rsidRPr="10A43560">
              <w:t xml:space="preserve"> for clients concerned about IPV due to </w:t>
            </w:r>
            <w:r>
              <w:t>their</w:t>
            </w:r>
            <w:r w:rsidRPr="10A43560">
              <w:t xml:space="preserve"> discreet nature</w:t>
            </w:r>
            <w:r>
              <w:t>s</w:t>
            </w:r>
            <w:r w:rsidRPr="10A43560">
              <w:t xml:space="preserve">, clients who wish to keep their ring use private from their sexual partner(s) should be counseled on the possibility that a partner may feel the ring during sex and be assisted with a plan to implement should this occur. </w:t>
            </w:r>
            <w:r>
              <w:t xml:space="preserve">Similarly, clients who wish to keep CAB PrEP use private should be counseled on the possibility of visible injection site reactions and be assisted with a plan to implement should this occur. </w:t>
            </w:r>
          </w:p>
          <w:p w14:paraId="76F8D47A" w14:textId="11D013FE" w:rsidR="00107322" w:rsidRPr="00CA1BA8" w:rsidRDefault="00107322" w:rsidP="00107322">
            <w:pPr>
              <w:pBdr>
                <w:top w:val="nil"/>
                <w:left w:val="nil"/>
                <w:bottom w:val="nil"/>
                <w:right w:val="nil"/>
                <w:between w:val="nil"/>
              </w:pBdr>
              <w:spacing w:after="120"/>
            </w:pPr>
            <w:r>
              <w:t xml:space="preserve">Supportive LIVES (Listen, Inquire, Validate, Enhance safety, and Support) tools for routine enquiry can be found </w:t>
            </w:r>
            <w:hyperlink r:id="rId35" w:history="1">
              <w:r w:rsidRPr="0089478E">
                <w:rPr>
                  <w:rStyle w:val="Hyperlink"/>
                </w:rPr>
                <w:t>here</w:t>
              </w:r>
            </w:hyperlink>
            <w:r>
              <w:t xml:space="preserve">. While the job aid specifies oral PrEP, it is applicable for clients using any PrEP method. </w:t>
            </w:r>
          </w:p>
        </w:tc>
      </w:tr>
      <w:tr w:rsidR="00107322" w:rsidRPr="00606B35" w14:paraId="3B5EE8F9" w14:textId="77777777" w:rsidTr="56D00486">
        <w:trPr>
          <w:cantSplit/>
          <w:trHeight w:val="80"/>
        </w:trPr>
        <w:tc>
          <w:tcPr>
            <w:tcW w:w="10525" w:type="dxa"/>
            <w:gridSpan w:val="2"/>
            <w:shd w:val="clear" w:color="auto" w:fill="D9E2F3" w:themeFill="accent1" w:themeFillTint="33"/>
          </w:tcPr>
          <w:p w14:paraId="6E2C7A5B" w14:textId="1C1DBFAF" w:rsidR="00107322" w:rsidRPr="00606B35" w:rsidRDefault="00107322" w:rsidP="00107322">
            <w:pPr>
              <w:spacing w:after="120"/>
              <w:jc w:val="center"/>
            </w:pPr>
            <w:r w:rsidRPr="0294A27B">
              <w:rPr>
                <w:b/>
              </w:rPr>
              <w:t>FOR CLIENTS WHO CHOOSE ORAL PrEP</w:t>
            </w:r>
          </w:p>
        </w:tc>
      </w:tr>
      <w:tr w:rsidR="00107322" w:rsidRPr="00606B35" w14:paraId="68CBC191" w14:textId="77777777" w:rsidTr="56D00486">
        <w:trPr>
          <w:cantSplit/>
          <w:trHeight w:val="80"/>
        </w:trPr>
        <w:tc>
          <w:tcPr>
            <w:tcW w:w="1843" w:type="dxa"/>
          </w:tcPr>
          <w:p w14:paraId="209C19B6" w14:textId="517D8C08" w:rsidR="00107322" w:rsidRPr="00606B35" w:rsidRDefault="00107322" w:rsidP="00107322">
            <w:pPr>
              <w:spacing w:after="120"/>
              <w:rPr>
                <w:rFonts w:cstheme="minorHAnsi"/>
              </w:rPr>
            </w:pPr>
            <w:r w:rsidRPr="00606B35">
              <w:rPr>
                <w:rFonts w:cstheme="minorHAnsi"/>
              </w:rPr>
              <w:t>Supporting effective use</w:t>
            </w:r>
          </w:p>
        </w:tc>
        <w:tc>
          <w:tcPr>
            <w:tcW w:w="8682" w:type="dxa"/>
          </w:tcPr>
          <w:p w14:paraId="0B05B662" w14:textId="245A7A0D" w:rsidR="00107322" w:rsidRPr="00606B35" w:rsidRDefault="00107322" w:rsidP="00107322">
            <w:pPr>
              <w:spacing w:after="120"/>
            </w:pPr>
            <w:r>
              <w:t xml:space="preserve">During instances or periods of potential exposure to HIV, some people find it easy to remember to take their oral PrEP when they integrate it into a daily routine and take it the same time each day. For example, you could take oral </w:t>
            </w:r>
            <w:proofErr w:type="gramStart"/>
            <w:r>
              <w:t>PrEP  when</w:t>
            </w:r>
            <w:proofErr w:type="gramEnd"/>
            <w:r>
              <w:t xml:space="preserve"> you brush your teeth (either in the morning or evening) or while watching a favorite TV show or listening to a favorite radio program. It is helpful to pair taking oral PrEP with a routine that makes you feel good. Other potential strategies include:</w:t>
            </w:r>
          </w:p>
          <w:p w14:paraId="32AAA7F7" w14:textId="28BD84BA" w:rsidR="00107322" w:rsidRDefault="00107322" w:rsidP="00107322">
            <w:pPr>
              <w:pStyle w:val="ListParagraph"/>
              <w:numPr>
                <w:ilvl w:val="0"/>
                <w:numId w:val="41"/>
              </w:numPr>
              <w:spacing w:after="120"/>
            </w:pPr>
            <w:r>
              <w:t xml:space="preserve">Taking oral PrEP with food or at night to help with any nausea  </w:t>
            </w:r>
          </w:p>
          <w:p w14:paraId="667D91EB" w14:textId="011D87AE" w:rsidR="00107322" w:rsidRDefault="00107322" w:rsidP="00107322">
            <w:pPr>
              <w:pStyle w:val="ListParagraph"/>
              <w:numPr>
                <w:ilvl w:val="0"/>
                <w:numId w:val="41"/>
              </w:numPr>
              <w:spacing w:after="120"/>
            </w:pPr>
            <w:r>
              <w:t>Using pill boxes for traveling around with extra pills to be used within 7 days preferably</w:t>
            </w:r>
          </w:p>
          <w:p w14:paraId="64A9DE5F" w14:textId="14323DE7" w:rsidR="00107322" w:rsidRDefault="00107322" w:rsidP="00107322">
            <w:pPr>
              <w:pStyle w:val="ListParagraph"/>
              <w:numPr>
                <w:ilvl w:val="0"/>
                <w:numId w:val="41"/>
              </w:numPr>
              <w:spacing w:after="120"/>
            </w:pPr>
            <w:r>
              <w:t xml:space="preserve">Joining or starting an in-person or virtual support group with friends or to connect with others who can support effective oral PrEP use. </w:t>
            </w:r>
          </w:p>
          <w:p w14:paraId="1F931650" w14:textId="0B96810C" w:rsidR="00107322" w:rsidRPr="00606B35" w:rsidRDefault="00107322" w:rsidP="00107322">
            <w:pPr>
              <w:spacing w:after="120"/>
            </w:pPr>
            <w:r w:rsidRPr="0294A27B">
              <w:rPr>
                <w:i/>
              </w:rPr>
              <w:t>What challenges do you anticipate</w:t>
            </w:r>
            <w:r w:rsidRPr="0294A27B" w:rsidDel="00576E6F">
              <w:rPr>
                <w:i/>
              </w:rPr>
              <w:t xml:space="preserve"> </w:t>
            </w:r>
            <w:r w:rsidRPr="0294A27B">
              <w:rPr>
                <w:i/>
              </w:rPr>
              <w:t>with taking oral PrEP as prescribed that maybe I can work with you to find solutions for? (Providers should explore and emphasize effective use and pill-taking reminders specific to everyone. This may be an appropriate time to explore gender and intimate partner violence.)</w:t>
            </w:r>
          </w:p>
        </w:tc>
      </w:tr>
      <w:tr w:rsidR="00107322" w:rsidRPr="00606B35" w14:paraId="59E6B88B" w14:textId="77777777" w:rsidTr="56D00486">
        <w:trPr>
          <w:cantSplit/>
          <w:trHeight w:val="80"/>
        </w:trPr>
        <w:tc>
          <w:tcPr>
            <w:tcW w:w="1843" w:type="dxa"/>
          </w:tcPr>
          <w:p w14:paraId="2888C4B2" w14:textId="1C022B36" w:rsidR="00107322" w:rsidRPr="00606B35" w:rsidRDefault="00107322" w:rsidP="00107322">
            <w:pPr>
              <w:spacing w:after="120"/>
              <w:rPr>
                <w:rFonts w:cstheme="minorHAnsi"/>
              </w:rPr>
            </w:pPr>
            <w:r>
              <w:rPr>
                <w:rFonts w:cstheme="minorHAnsi"/>
              </w:rPr>
              <w:t>Oral PrEP</w:t>
            </w:r>
            <w:r w:rsidRPr="00606B35">
              <w:rPr>
                <w:rFonts w:cstheme="minorHAnsi"/>
              </w:rPr>
              <w:t xml:space="preserve"> storage</w:t>
            </w:r>
          </w:p>
        </w:tc>
        <w:tc>
          <w:tcPr>
            <w:tcW w:w="8682" w:type="dxa"/>
          </w:tcPr>
          <w:p w14:paraId="21EE9C16" w14:textId="6A16021E" w:rsidR="00107322" w:rsidRDefault="00107322" w:rsidP="00107322">
            <w:pPr>
              <w:spacing w:after="120"/>
            </w:pPr>
            <w:r w:rsidRPr="00606B35">
              <w:rPr>
                <w:rFonts w:cstheme="minorHAnsi"/>
                <w:color w:val="000000"/>
              </w:rPr>
              <w:t xml:space="preserve">Store </w:t>
            </w:r>
            <w:r>
              <w:rPr>
                <w:rFonts w:cstheme="minorHAnsi"/>
                <w:color w:val="000000"/>
              </w:rPr>
              <w:t>oral PrEP</w:t>
            </w:r>
            <w:r w:rsidRPr="00606B35">
              <w:rPr>
                <w:rFonts w:cstheme="minorHAnsi"/>
                <w:color w:val="000000"/>
              </w:rPr>
              <w:t xml:space="preserve"> in </w:t>
            </w:r>
            <w:r>
              <w:rPr>
                <w:rFonts w:cstheme="minorHAnsi"/>
                <w:color w:val="000000"/>
              </w:rPr>
              <w:t>its</w:t>
            </w:r>
            <w:r w:rsidRPr="00606B35">
              <w:rPr>
                <w:rFonts w:cstheme="minorHAnsi"/>
                <w:color w:val="000000"/>
              </w:rPr>
              <w:t xml:space="preserve"> original packaging</w:t>
            </w:r>
            <w:r>
              <w:rPr>
                <w:rFonts w:cstheme="minorHAnsi"/>
                <w:color w:val="000000"/>
              </w:rPr>
              <w:t xml:space="preserve"> (if possible)</w:t>
            </w:r>
            <w:r w:rsidRPr="00606B35">
              <w:rPr>
                <w:rFonts w:cstheme="minorHAnsi"/>
                <w:color w:val="000000"/>
              </w:rPr>
              <w:t xml:space="preserve"> in a cool, dry place, away from children and direct sunlight and secured from any pets or animals. </w:t>
            </w:r>
            <w:r>
              <w:rPr>
                <w:rFonts w:cstheme="minorHAnsi"/>
                <w:color w:val="000000"/>
              </w:rPr>
              <w:t>Oral PrEP</w:t>
            </w:r>
            <w:r w:rsidRPr="00606B35">
              <w:rPr>
                <w:rFonts w:cstheme="minorHAnsi"/>
                <w:color w:val="000000"/>
              </w:rPr>
              <w:t xml:space="preserve"> does not need to be refrigerated</w:t>
            </w:r>
            <w:r>
              <w:rPr>
                <w:rFonts w:cstheme="minorHAnsi"/>
                <w:color w:val="000000"/>
              </w:rPr>
              <w:t>. You can check the package for the expiration date</w:t>
            </w:r>
            <w:r w:rsidRPr="00606B35">
              <w:rPr>
                <w:rFonts w:cstheme="minorHAnsi"/>
                <w:color w:val="000000"/>
              </w:rPr>
              <w:t>.</w:t>
            </w:r>
          </w:p>
        </w:tc>
      </w:tr>
      <w:tr w:rsidR="00107322" w:rsidRPr="00606B35" w14:paraId="39ABF26A" w14:textId="77777777" w:rsidTr="52CC4247">
        <w:trPr>
          <w:trHeight w:val="80"/>
        </w:trPr>
        <w:tc>
          <w:tcPr>
            <w:tcW w:w="1843" w:type="dxa"/>
          </w:tcPr>
          <w:p w14:paraId="5E7C72EA" w14:textId="689687E7" w:rsidR="00107322" w:rsidRPr="00606B35" w:rsidRDefault="00107322" w:rsidP="00107322">
            <w:pPr>
              <w:spacing w:after="120"/>
            </w:pPr>
            <w:r w:rsidRPr="0294A27B">
              <w:t xml:space="preserve">Missed daily oral </w:t>
            </w:r>
            <w:r>
              <w:br/>
            </w:r>
            <w:r w:rsidRPr="0294A27B">
              <w:t>PrEP dose</w:t>
            </w:r>
          </w:p>
        </w:tc>
        <w:tc>
          <w:tcPr>
            <w:tcW w:w="8682" w:type="dxa"/>
          </w:tcPr>
          <w:p w14:paraId="67516C13" w14:textId="4E01BFEB" w:rsidR="00107322" w:rsidRPr="00606B35" w:rsidRDefault="00107322" w:rsidP="00107322">
            <w:pPr>
              <w:spacing w:after="120"/>
            </w:pPr>
            <w:r w:rsidRPr="625A98ED">
              <w:t xml:space="preserve">If you forget to take a pill or miss a dose, take it as soon as you remember. For example, if you usually take oral PrEP in the morning but realize at 10 p.m. or the next day that you forgot, it is okay to take your pill then and resume your usual schedule the following morning. If you forget more than once a week, come back here or </w:t>
            </w:r>
            <w:r w:rsidRPr="6C9323C6">
              <w:t>quickly</w:t>
            </w:r>
            <w:r w:rsidRPr="289522B8">
              <w:t xml:space="preserve"> </w:t>
            </w:r>
            <w:r w:rsidRPr="625A98ED">
              <w:t>contact someone here and we can discuss what to do.</w:t>
            </w:r>
          </w:p>
        </w:tc>
      </w:tr>
      <w:tr w:rsidR="00107322" w:rsidRPr="00606B35" w14:paraId="555B25C2" w14:textId="77777777" w:rsidTr="52CC4247">
        <w:trPr>
          <w:trHeight w:val="215"/>
        </w:trPr>
        <w:tc>
          <w:tcPr>
            <w:tcW w:w="1843" w:type="dxa"/>
          </w:tcPr>
          <w:p w14:paraId="460CE38B" w14:textId="6133F789" w:rsidR="00107322" w:rsidRPr="00606B35" w:rsidRDefault="00107322" w:rsidP="00107322">
            <w:pPr>
              <w:spacing w:after="120"/>
            </w:pPr>
            <w:r w:rsidRPr="0294A27B">
              <w:lastRenderedPageBreak/>
              <w:t>Delayed loading dose </w:t>
            </w:r>
            <w:r w:rsidR="004C2103">
              <w:t>for single or infrequent event use</w:t>
            </w:r>
          </w:p>
        </w:tc>
        <w:tc>
          <w:tcPr>
            <w:tcW w:w="8682" w:type="dxa"/>
          </w:tcPr>
          <w:p w14:paraId="2C86BE38" w14:textId="029C51D7" w:rsidR="00107322" w:rsidRPr="00606B35" w:rsidRDefault="00107322" w:rsidP="00107322">
            <w:pPr>
              <w:spacing w:after="120"/>
              <w:rPr>
                <w:rFonts w:cstheme="minorHAnsi"/>
              </w:rPr>
            </w:pPr>
            <w:r w:rsidRPr="00606B35">
              <w:rPr>
                <w:rFonts w:cstheme="minorHAnsi"/>
              </w:rPr>
              <w:t>If it is less than two hours before you plan to have sex, take the loading dose, and try to delay sex until two hours after the loading dose. However, if you do NOT take the loading dose at least two hours before sex and cannot delay sex you could: </w:t>
            </w:r>
          </w:p>
          <w:p w14:paraId="483C2D08" w14:textId="6832A222" w:rsidR="00107322" w:rsidRPr="00606B35" w:rsidRDefault="00107322" w:rsidP="00107322">
            <w:pPr>
              <w:numPr>
                <w:ilvl w:val="0"/>
                <w:numId w:val="13"/>
              </w:numPr>
              <w:spacing w:after="120"/>
              <w:rPr>
                <w:rFonts w:cstheme="minorHAnsi"/>
              </w:rPr>
            </w:pPr>
            <w:r w:rsidRPr="00606B35">
              <w:rPr>
                <w:rFonts w:cstheme="minorHAnsi"/>
              </w:rPr>
              <w:t xml:space="preserve">Use a condom and </w:t>
            </w:r>
            <w:r w:rsidRPr="00606B35">
              <w:rPr>
                <w:rFonts w:cstheme="minorHAnsi"/>
                <w:color w:val="000000"/>
              </w:rPr>
              <w:t>condom-compatible</w:t>
            </w:r>
            <w:r w:rsidRPr="00606B35">
              <w:rPr>
                <w:rFonts w:cstheme="minorHAnsi"/>
              </w:rPr>
              <w:t xml:space="preserve"> lubricant. </w:t>
            </w:r>
          </w:p>
          <w:p w14:paraId="479858B5" w14:textId="6988C8E2" w:rsidR="00107322" w:rsidRPr="00606B35" w:rsidRDefault="00107322" w:rsidP="00107322">
            <w:pPr>
              <w:numPr>
                <w:ilvl w:val="0"/>
                <w:numId w:val="13"/>
              </w:numPr>
              <w:spacing w:after="120"/>
              <w:rPr>
                <w:rFonts w:cstheme="minorHAnsi"/>
              </w:rPr>
            </w:pPr>
            <w:r w:rsidRPr="00606B35">
              <w:rPr>
                <w:rFonts w:cstheme="minorHAnsi"/>
              </w:rPr>
              <w:t xml:space="preserve">Have other types of sex that come with </w:t>
            </w:r>
            <w:r>
              <w:rPr>
                <w:rFonts w:cstheme="minorHAnsi"/>
              </w:rPr>
              <w:t xml:space="preserve">no or nearly no </w:t>
            </w:r>
            <w:r w:rsidRPr="00606B35">
              <w:rPr>
                <w:rFonts w:cstheme="minorHAnsi"/>
              </w:rPr>
              <w:t>likelihood of HIV acquisition (such as mutual masturbation</w:t>
            </w:r>
            <w:r>
              <w:rPr>
                <w:rFonts w:cstheme="minorHAnsi"/>
              </w:rPr>
              <w:t xml:space="preserve"> or oral sex</w:t>
            </w:r>
            <w:r w:rsidRPr="00606B35">
              <w:rPr>
                <w:rFonts w:cstheme="minorHAnsi"/>
              </w:rPr>
              <w:t>).</w:t>
            </w:r>
          </w:p>
          <w:p w14:paraId="77821B38" w14:textId="0378B8DD" w:rsidR="00107322" w:rsidRPr="00606B35" w:rsidRDefault="00107322" w:rsidP="00107322">
            <w:pPr>
              <w:spacing w:after="120"/>
            </w:pPr>
            <w:r w:rsidRPr="00606B35">
              <w:t xml:space="preserve">If you have sex before two hours </w:t>
            </w:r>
            <w:r>
              <w:t xml:space="preserve">have passed </w:t>
            </w:r>
            <w:r w:rsidRPr="00606B35">
              <w:t>and do not use a condom, you may be a candidate for a 28-day course of PEP, depending upon other factors (per the national guidelines).</w:t>
            </w:r>
          </w:p>
        </w:tc>
      </w:tr>
      <w:tr w:rsidR="00107322" w:rsidRPr="00606B35" w14:paraId="17AEC353" w14:textId="77777777" w:rsidTr="52CC4247">
        <w:trPr>
          <w:trHeight w:val="980"/>
        </w:trPr>
        <w:tc>
          <w:tcPr>
            <w:tcW w:w="1843" w:type="dxa"/>
          </w:tcPr>
          <w:p w14:paraId="2852610F" w14:textId="21AC2873" w:rsidR="00107322" w:rsidRPr="00606B35" w:rsidRDefault="00107322" w:rsidP="00107322">
            <w:pPr>
              <w:spacing w:after="120"/>
              <w:rPr>
                <w:sz w:val="24"/>
                <w:szCs w:val="24"/>
              </w:rPr>
            </w:pPr>
            <w:r w:rsidRPr="75C8119B">
              <w:t>Missed dose(s) </w:t>
            </w:r>
          </w:p>
        </w:tc>
        <w:tc>
          <w:tcPr>
            <w:tcW w:w="8682" w:type="dxa"/>
          </w:tcPr>
          <w:p w14:paraId="5E32ED0C" w14:textId="649889E9" w:rsidR="00107322" w:rsidRPr="00606B35" w:rsidRDefault="00107322" w:rsidP="00107322">
            <w:pPr>
              <w:spacing w:after="120"/>
            </w:pPr>
            <w:r w:rsidRPr="0294A27B">
              <w:t>If you miss a</w:t>
            </w:r>
            <w:r w:rsidR="00E9756B">
              <w:t xml:space="preserve"> single or infrequent event </w:t>
            </w:r>
            <w:r w:rsidRPr="0294A27B">
              <w:t>dose (loading or post-sex), you may be a candidate for a 28-day course of PEP per the national guidelines. </w:t>
            </w:r>
          </w:p>
          <w:p w14:paraId="3B1E6252" w14:textId="64623919" w:rsidR="00107322" w:rsidRPr="00606B35" w:rsidRDefault="00107322" w:rsidP="00107322">
            <w:pPr>
              <w:spacing w:after="120"/>
              <w:rPr>
                <w:rFonts w:cstheme="minorHAnsi"/>
                <w:sz w:val="24"/>
                <w:szCs w:val="24"/>
              </w:rPr>
            </w:pPr>
            <w:r>
              <w:rPr>
                <w:rFonts w:cstheme="minorHAnsi"/>
                <w:b/>
                <w:bCs/>
              </w:rPr>
              <w:t xml:space="preserve">PROVIDER </w:t>
            </w:r>
            <w:r w:rsidRPr="00606B35">
              <w:rPr>
                <w:rFonts w:cstheme="minorHAnsi"/>
                <w:b/>
                <w:bCs/>
              </w:rPr>
              <w:t>N</w:t>
            </w:r>
            <w:r>
              <w:rPr>
                <w:rFonts w:cstheme="minorHAnsi"/>
                <w:b/>
                <w:bCs/>
              </w:rPr>
              <w:t>OTE</w:t>
            </w:r>
            <w:r w:rsidRPr="00606B35">
              <w:rPr>
                <w:rFonts w:cstheme="minorHAnsi"/>
                <w:b/>
                <w:bCs/>
              </w:rPr>
              <w:t>:</w:t>
            </w:r>
            <w:r w:rsidRPr="00606B35">
              <w:rPr>
                <w:rFonts w:cstheme="minorHAnsi"/>
              </w:rPr>
              <w:t xml:space="preserve"> Because the timing and type of the sexual event will vary for each client in relation to the timing of the missed dose(s), such cases will require individual adjudication and best clinical judgment. </w:t>
            </w:r>
          </w:p>
        </w:tc>
      </w:tr>
      <w:tr w:rsidR="00107322" w:rsidRPr="00606B35" w14:paraId="0BCE2E65" w14:textId="77777777" w:rsidTr="52CC4247">
        <w:trPr>
          <w:trHeight w:val="440"/>
        </w:trPr>
        <w:tc>
          <w:tcPr>
            <w:tcW w:w="1843" w:type="dxa"/>
          </w:tcPr>
          <w:p w14:paraId="09AE42BC" w14:textId="4AEF8A15" w:rsidR="00107322" w:rsidRPr="00606B35" w:rsidRDefault="00107322" w:rsidP="00107322">
            <w:pPr>
              <w:spacing w:after="120"/>
              <w:rPr>
                <w:sz w:val="24"/>
                <w:szCs w:val="24"/>
              </w:rPr>
            </w:pPr>
            <w:r w:rsidRPr="10A43560">
              <w:t xml:space="preserve">Switching between </w:t>
            </w:r>
            <w:r w:rsidR="00ED5FBF">
              <w:t>regimens</w:t>
            </w:r>
            <w:r w:rsidRPr="10A43560">
              <w:t> </w:t>
            </w:r>
          </w:p>
        </w:tc>
        <w:tc>
          <w:tcPr>
            <w:tcW w:w="8682" w:type="dxa"/>
          </w:tcPr>
          <w:p w14:paraId="3A5F1DB4" w14:textId="65147783" w:rsidR="00107322" w:rsidRPr="00606B35" w:rsidRDefault="00107322" w:rsidP="00107322">
            <w:pPr>
              <w:spacing w:after="120"/>
            </w:pPr>
            <w:r w:rsidRPr="0294A27B">
              <w:t>Because the frequency and predictability of sex may vary over time, the best PrEP dosing option for you may also vary over time.</w:t>
            </w:r>
          </w:p>
          <w:p w14:paraId="6A7F0ABC" w14:textId="761F5A5B" w:rsidR="00107322" w:rsidRPr="00606B35" w:rsidRDefault="00107322" w:rsidP="00107322">
            <w:pPr>
              <w:spacing w:after="120"/>
            </w:pPr>
            <w:r w:rsidRPr="0294A27B">
              <w:t xml:space="preserve">To transition from </w:t>
            </w:r>
            <w:r w:rsidR="00E9756B">
              <w:t>single or infrequent</w:t>
            </w:r>
            <w:r w:rsidRPr="0294A27B">
              <w:t xml:space="preserve"> to daily </w:t>
            </w:r>
            <w:r w:rsidR="00E9756B">
              <w:t>dosing</w:t>
            </w:r>
            <w:r w:rsidRPr="0294A27B">
              <w:t xml:space="preserve">: </w:t>
            </w:r>
            <w:r w:rsidR="00C8063C">
              <w:t>C</w:t>
            </w:r>
            <w:r w:rsidRPr="0294A27B">
              <w:t>ontinue taking PrEP every day after your last exposure. You should continue this daily dosing until sex becomes less frequent or more predictable again, or for as long as you prefer the daily dosing option. </w:t>
            </w:r>
          </w:p>
          <w:p w14:paraId="7D42EEC0" w14:textId="32FE36BE" w:rsidR="00107322" w:rsidRPr="00606B35" w:rsidRDefault="00107322" w:rsidP="00107322">
            <w:pPr>
              <w:spacing w:after="120"/>
            </w:pPr>
            <w:r w:rsidRPr="0294A27B">
              <w:t xml:space="preserve">To transition from daily to </w:t>
            </w:r>
            <w:r w:rsidR="00E9756B">
              <w:t>single or infrequent event</w:t>
            </w:r>
            <w:r w:rsidR="00EE648D">
              <w:t xml:space="preserve"> dosing</w:t>
            </w:r>
            <w:r w:rsidRPr="0294A27B">
              <w:t xml:space="preserve">: </w:t>
            </w:r>
            <w:r w:rsidR="00901AE9">
              <w:t>S</w:t>
            </w:r>
            <w:r w:rsidRPr="0294A27B">
              <w:t xml:space="preserve">top daily dosing two days after the last potential exposure, and then start following the </w:t>
            </w:r>
            <w:r w:rsidR="00EE648D">
              <w:t>single or infrequent event dosing</w:t>
            </w:r>
            <w:r w:rsidRPr="0294A27B">
              <w:t> regimen until sex becomes more frequent or less predictable. </w:t>
            </w:r>
          </w:p>
        </w:tc>
      </w:tr>
      <w:tr w:rsidR="00107322" w:rsidRPr="00606B35" w14:paraId="53D543C4" w14:textId="77777777" w:rsidTr="52CC4247">
        <w:trPr>
          <w:trHeight w:val="54"/>
        </w:trPr>
        <w:tc>
          <w:tcPr>
            <w:tcW w:w="1843" w:type="dxa"/>
            <w:hideMark/>
          </w:tcPr>
          <w:p w14:paraId="3FE9C3E8" w14:textId="48B7528A" w:rsidR="00107322" w:rsidRPr="00606B35" w:rsidRDefault="00107322" w:rsidP="00107322">
            <w:pPr>
              <w:spacing w:after="120"/>
              <w:rPr>
                <w:rFonts w:cstheme="minorHAnsi"/>
              </w:rPr>
            </w:pPr>
            <w:r w:rsidRPr="00606B35">
              <w:rPr>
                <w:rFonts w:cstheme="minorHAnsi"/>
              </w:rPr>
              <w:t>Dosing scenarios </w:t>
            </w:r>
          </w:p>
        </w:tc>
        <w:tc>
          <w:tcPr>
            <w:tcW w:w="8682" w:type="dxa"/>
            <w:hideMark/>
          </w:tcPr>
          <w:p w14:paraId="2FF405C1" w14:textId="5D86DFB4" w:rsidR="00107322" w:rsidRPr="00606B35" w:rsidRDefault="00107322" w:rsidP="00107322">
            <w:pPr>
              <w:spacing w:after="120"/>
            </w:pPr>
            <w:r w:rsidRPr="00606B35">
              <w:t xml:space="preserve">It is very important for you to try to take the follow-up doses around the same time of day </w:t>
            </w:r>
            <w:r>
              <w:t xml:space="preserve">when </w:t>
            </w:r>
            <w:r w:rsidRPr="00606B35">
              <w:t xml:space="preserve">you took the loading dose. For </w:t>
            </w:r>
            <w:r w:rsidR="00EE648D">
              <w:t>single or infrequent event dosing</w:t>
            </w:r>
            <w:r w:rsidRPr="00606B35">
              <w:t> to be effective, take PrEP according to the dosing schedule prescribed. Let’s walk through some common scenarios together.</w:t>
            </w:r>
          </w:p>
          <w:p w14:paraId="2B00AC0D" w14:textId="04DFD97D" w:rsidR="00107322" w:rsidRPr="00606B35" w:rsidRDefault="00107322" w:rsidP="00107322">
            <w:pPr>
              <w:spacing w:after="120"/>
            </w:pPr>
            <w:r w:rsidRPr="0294A27B">
              <w:rPr>
                <w:b/>
              </w:rPr>
              <w:t xml:space="preserve">PROVIDER NOTE: </w:t>
            </w:r>
            <w:r w:rsidRPr="0294A27B">
              <w:t xml:space="preserve">Walk through basic regimen with client. Provide client with information, education, and counseling materials showing different scenarios for </w:t>
            </w:r>
            <w:r w:rsidR="00EE648D">
              <w:t>single or infrequent event dosing</w:t>
            </w:r>
            <w:r w:rsidRPr="0294A27B">
              <w:t xml:space="preserve"> (see </w:t>
            </w:r>
            <w:r w:rsidRPr="0294A27B">
              <w:rPr>
                <w:i/>
              </w:rPr>
              <w:t>Oral PrEP Use</w:t>
            </w:r>
            <w:r w:rsidRPr="0294A27B">
              <w:t xml:space="preserve"> above)</w:t>
            </w:r>
            <w:r w:rsidR="00E450EB">
              <w:t>.</w:t>
            </w:r>
          </w:p>
        </w:tc>
      </w:tr>
      <w:tr w:rsidR="00107322" w:rsidRPr="00606B35" w14:paraId="64A05451" w14:textId="77777777" w:rsidTr="56D00486">
        <w:tc>
          <w:tcPr>
            <w:tcW w:w="10525" w:type="dxa"/>
            <w:gridSpan w:val="2"/>
            <w:shd w:val="clear" w:color="auto" w:fill="D9E2F3" w:themeFill="accent1" w:themeFillTint="33"/>
          </w:tcPr>
          <w:p w14:paraId="570B3941" w14:textId="3E370189" w:rsidR="00107322" w:rsidRPr="00606B35" w:rsidRDefault="00107322" w:rsidP="00107322">
            <w:pPr>
              <w:spacing w:after="120"/>
              <w:jc w:val="center"/>
              <w:rPr>
                <w:rFonts w:cstheme="minorHAnsi"/>
                <w:b/>
                <w:bCs/>
                <w:color w:val="000000"/>
              </w:rPr>
            </w:pPr>
            <w:r w:rsidRPr="00606B35">
              <w:rPr>
                <w:rFonts w:cstheme="minorHAnsi"/>
                <w:b/>
                <w:bCs/>
                <w:color w:val="000000"/>
              </w:rPr>
              <w:t>FOR CLIENTS WHO CHOOSE THE RING</w:t>
            </w:r>
          </w:p>
        </w:tc>
      </w:tr>
      <w:tr w:rsidR="00107322" w:rsidRPr="00606B35" w14:paraId="5E9AD83A" w14:textId="77777777" w:rsidTr="52CC4247">
        <w:tc>
          <w:tcPr>
            <w:tcW w:w="1843" w:type="dxa"/>
          </w:tcPr>
          <w:p w14:paraId="780C6791" w14:textId="305FEAAB" w:rsidR="00107322" w:rsidRPr="00606B35" w:rsidRDefault="00107322" w:rsidP="00107322">
            <w:pPr>
              <w:spacing w:after="120"/>
              <w:rPr>
                <w:b/>
              </w:rPr>
            </w:pPr>
            <w:r w:rsidRPr="00606B35">
              <w:t>Supporting effective use</w:t>
            </w:r>
          </w:p>
        </w:tc>
        <w:tc>
          <w:tcPr>
            <w:tcW w:w="8682" w:type="dxa"/>
          </w:tcPr>
          <w:p w14:paraId="795941E8" w14:textId="242B40DD" w:rsidR="00107322" w:rsidRPr="00606B35" w:rsidRDefault="00107322" w:rsidP="00107322">
            <w:pPr>
              <w:spacing w:after="120"/>
            </w:pPr>
            <w:r w:rsidRPr="00606B35">
              <w:t xml:space="preserve">The ring is designed to be in place for </w:t>
            </w:r>
            <w:r w:rsidRPr="00796CF2">
              <w:t>a full month without being removed. However, if you decide to remove the ring, it is important to rinse it with clean water only and insert it again as soon as possible. The ring can be reinserted after removal until the 28-day period has expired; however, the level of dapivirine in the vagina drops quickly after ring removal, and therefore removal is not recommended during the window of use. Also, because dapivirine levels</w:t>
            </w:r>
            <w:r w:rsidRPr="00AD48D6">
              <w:t xml:space="preserve"> drop quickly after ring removal, the need </w:t>
            </w:r>
            <w:r>
              <w:t xml:space="preserve">to use </w:t>
            </w:r>
            <w:r w:rsidRPr="00AD48D6">
              <w:t xml:space="preserve">other HIV prevention measures until the ring is reinserted should be reinforced. If </w:t>
            </w:r>
            <w:r>
              <w:t>a</w:t>
            </w:r>
            <w:r w:rsidRPr="00AD48D6">
              <w:t xml:space="preserve"> </w:t>
            </w:r>
            <w:proofErr w:type="gramStart"/>
            <w:r>
              <w:t>PrEP</w:t>
            </w:r>
            <w:proofErr w:type="gramEnd"/>
            <w:r>
              <w:t xml:space="preserve"> </w:t>
            </w:r>
            <w:r w:rsidRPr="00AD48D6">
              <w:t>ring is removed for a longer period</w:t>
            </w:r>
            <w:r>
              <w:t xml:space="preserve"> than just a removal and reinsertion as soon as possible</w:t>
            </w:r>
            <w:r w:rsidRPr="00AD48D6">
              <w:t xml:space="preserve">, it should be cleaned prior to reinsertion. Once reinserted, the ring must be in place for at least 24 hours for maximum protection. </w:t>
            </w:r>
            <w:r w:rsidRPr="00606B35">
              <w:t xml:space="preserve">Since it needs to be changed monthly, it could be helpful to set a reminder </w:t>
            </w:r>
            <w:r>
              <w:t>o</w:t>
            </w:r>
            <w:r w:rsidRPr="00606B35">
              <w:t>n your phone if you have one or to record it somewhere else where you look frequently to help you remember when it is time to replace your ring with a new one.</w:t>
            </w:r>
          </w:p>
          <w:p w14:paraId="1E0B0F2B" w14:textId="296A729B" w:rsidR="00107322" w:rsidRPr="00606B35" w:rsidRDefault="00107322" w:rsidP="00107322">
            <w:pPr>
              <w:spacing w:after="120"/>
              <w:rPr>
                <w:i/>
              </w:rPr>
            </w:pPr>
            <w:r w:rsidRPr="0294A27B">
              <w:rPr>
                <w:b/>
              </w:rPr>
              <w:t xml:space="preserve">PROVIDER NOTE: </w:t>
            </w:r>
            <w:r w:rsidRPr="0294A27B">
              <w:t xml:space="preserve">Walk through insertion and removal instructions with the client (see </w:t>
            </w:r>
            <w:r w:rsidRPr="0294A27B">
              <w:rPr>
                <w:i/>
              </w:rPr>
              <w:t>PrEP Ring Use</w:t>
            </w:r>
            <w:r w:rsidRPr="0294A27B">
              <w:t xml:space="preserve"> above)</w:t>
            </w:r>
            <w:r w:rsidRPr="0294A27B">
              <w:rPr>
                <w:i/>
              </w:rPr>
              <w:t xml:space="preserve"> </w:t>
            </w:r>
          </w:p>
          <w:p w14:paraId="0EEE14A6" w14:textId="786B3332" w:rsidR="00107322" w:rsidRPr="00606B35" w:rsidRDefault="00107322" w:rsidP="00107322">
            <w:pPr>
              <w:spacing w:after="120"/>
              <w:rPr>
                <w:i/>
              </w:rPr>
            </w:pPr>
            <w:r w:rsidRPr="00AD48D6">
              <w:rPr>
                <w:i/>
              </w:rPr>
              <w:lastRenderedPageBreak/>
              <w:t>What</w:t>
            </w:r>
            <w:r w:rsidRPr="00606B35">
              <w:rPr>
                <w:i/>
              </w:rPr>
              <w:t xml:space="preserve"> challenges </w:t>
            </w:r>
            <w:r>
              <w:rPr>
                <w:i/>
              </w:rPr>
              <w:t xml:space="preserve">do you anticipate </w:t>
            </w:r>
            <w:r w:rsidRPr="00606B35">
              <w:rPr>
                <w:i/>
              </w:rPr>
              <w:t xml:space="preserve">with using the ring as prescribed that maybe I can work with you to find solutions for? </w:t>
            </w:r>
            <w:r w:rsidRPr="60EE23EE">
              <w:rPr>
                <w:i/>
                <w:iCs/>
              </w:rPr>
              <w:t xml:space="preserve">Do you feel confident you </w:t>
            </w:r>
            <w:r w:rsidRPr="6449D88D">
              <w:rPr>
                <w:i/>
                <w:iCs/>
              </w:rPr>
              <w:t>can insert and remove the ring yourself</w:t>
            </w:r>
            <w:r>
              <w:rPr>
                <w:i/>
                <w:iCs/>
              </w:rPr>
              <w:t>,</w:t>
            </w:r>
            <w:r w:rsidRPr="6449D88D">
              <w:rPr>
                <w:i/>
                <w:iCs/>
              </w:rPr>
              <w:t xml:space="preserve"> or do you </w:t>
            </w:r>
            <w:r w:rsidRPr="0E7D248A">
              <w:rPr>
                <w:i/>
                <w:iCs/>
              </w:rPr>
              <w:t>think you will need help from me or another provider?</w:t>
            </w:r>
            <w:r w:rsidRPr="4352062B">
              <w:rPr>
                <w:i/>
                <w:iCs/>
              </w:rPr>
              <w:t xml:space="preserve"> </w:t>
            </w:r>
            <w:r w:rsidRPr="00606B35">
              <w:rPr>
                <w:i/>
              </w:rPr>
              <w:t xml:space="preserve">(Providers should explore and emphasize </w:t>
            </w:r>
            <w:r>
              <w:rPr>
                <w:i/>
              </w:rPr>
              <w:t>effective use</w:t>
            </w:r>
            <w:r w:rsidRPr="00606B35">
              <w:rPr>
                <w:i/>
              </w:rPr>
              <w:t xml:space="preserve"> and ring replacement reminders specific to everyone. This may be an appropriate time to explore gender</w:t>
            </w:r>
            <w:r>
              <w:rPr>
                <w:i/>
              </w:rPr>
              <w:t xml:space="preserve">-based </w:t>
            </w:r>
            <w:r w:rsidRPr="00606B35">
              <w:rPr>
                <w:i/>
              </w:rPr>
              <w:t>and intimate partner violence.)</w:t>
            </w:r>
          </w:p>
        </w:tc>
      </w:tr>
      <w:tr w:rsidR="00107322" w:rsidRPr="00606B35" w14:paraId="05DD8A44" w14:textId="77777777" w:rsidTr="52CC4247">
        <w:tc>
          <w:tcPr>
            <w:tcW w:w="1843" w:type="dxa"/>
          </w:tcPr>
          <w:p w14:paraId="2E6537B2" w14:textId="3451046C" w:rsidR="00107322" w:rsidRPr="00606B35" w:rsidRDefault="00107322" w:rsidP="00107322">
            <w:pPr>
              <w:spacing w:after="120"/>
              <w:rPr>
                <w:rFonts w:cstheme="minorHAnsi"/>
                <w:bCs/>
              </w:rPr>
            </w:pPr>
            <w:r w:rsidRPr="00606B35">
              <w:rPr>
                <w:rFonts w:cstheme="minorHAnsi"/>
                <w:bCs/>
              </w:rPr>
              <w:lastRenderedPageBreak/>
              <w:t>Cleaning the ring</w:t>
            </w:r>
          </w:p>
        </w:tc>
        <w:tc>
          <w:tcPr>
            <w:tcW w:w="8682" w:type="dxa"/>
          </w:tcPr>
          <w:p w14:paraId="7C167D9A" w14:textId="23236BB1" w:rsidR="00107322" w:rsidRPr="00606B35" w:rsidRDefault="00107322" w:rsidP="00107322">
            <w:pPr>
              <w:spacing w:after="120"/>
              <w:rPr>
                <w:rFonts w:cstheme="minorHAnsi"/>
                <w:color w:val="000000"/>
              </w:rPr>
            </w:pPr>
            <w:r w:rsidRPr="00606B35">
              <w:rPr>
                <w:rFonts w:cstheme="minorHAnsi"/>
                <w:color w:val="000000"/>
              </w:rPr>
              <w:t xml:space="preserve">The ring does not need to be removed and cleaned for any reason. However, if desired, it is acceptable to remove the ring, rinse it in clean water only, and then reinsert it </w:t>
            </w:r>
            <w:r w:rsidRPr="00606B35">
              <w:rPr>
                <w:rFonts w:cstheme="minorHAnsi"/>
              </w:rPr>
              <w:t xml:space="preserve">immediately. </w:t>
            </w:r>
          </w:p>
        </w:tc>
      </w:tr>
      <w:tr w:rsidR="00107322" w:rsidRPr="00606B35" w14:paraId="0C82969D" w14:textId="77777777" w:rsidTr="52CC4247">
        <w:tc>
          <w:tcPr>
            <w:tcW w:w="1843" w:type="dxa"/>
          </w:tcPr>
          <w:p w14:paraId="5EB74093" w14:textId="20E73194" w:rsidR="00107322" w:rsidRPr="00606B35" w:rsidRDefault="00107322" w:rsidP="00107322">
            <w:pPr>
              <w:spacing w:after="120"/>
              <w:rPr>
                <w:rFonts w:cstheme="minorHAnsi"/>
                <w:bCs/>
              </w:rPr>
            </w:pPr>
            <w:r w:rsidRPr="00606B35">
              <w:rPr>
                <w:rFonts w:cstheme="minorHAnsi"/>
                <w:bCs/>
              </w:rPr>
              <w:t xml:space="preserve">Ring reinsertion </w:t>
            </w:r>
          </w:p>
        </w:tc>
        <w:tc>
          <w:tcPr>
            <w:tcW w:w="8682" w:type="dxa"/>
          </w:tcPr>
          <w:p w14:paraId="373522BE" w14:textId="1BE18884" w:rsidR="00107322" w:rsidRPr="00606B35" w:rsidRDefault="00107322" w:rsidP="00107322">
            <w:pPr>
              <w:spacing w:after="120"/>
              <w:rPr>
                <w:rFonts w:cstheme="minorHAnsi"/>
                <w:color w:val="000000"/>
              </w:rPr>
            </w:pPr>
            <w:r w:rsidRPr="00606B35">
              <w:rPr>
                <w:rFonts w:cstheme="minorHAnsi"/>
                <w:color w:val="000000"/>
              </w:rPr>
              <w:t>Although it is unlikely, it is possible that the ring may fall out. If this happens in a clean location, the ring should be rinsed in clean water and reinserted. If the ring falls out in a dirty location, the ring should be replaced with a new ring.</w:t>
            </w:r>
          </w:p>
        </w:tc>
      </w:tr>
      <w:tr w:rsidR="00107322" w:rsidRPr="00606B35" w14:paraId="777B73A8" w14:textId="77777777" w:rsidTr="52CC4247">
        <w:tc>
          <w:tcPr>
            <w:tcW w:w="1843" w:type="dxa"/>
          </w:tcPr>
          <w:p w14:paraId="54C7915B" w14:textId="5E64C96C" w:rsidR="00107322" w:rsidRPr="00606B35" w:rsidRDefault="00107322" w:rsidP="00107322">
            <w:pPr>
              <w:spacing w:after="120"/>
              <w:rPr>
                <w:rFonts w:cstheme="minorHAnsi"/>
                <w:bCs/>
              </w:rPr>
            </w:pPr>
            <w:r w:rsidRPr="00606B35">
              <w:rPr>
                <w:rFonts w:cstheme="minorHAnsi"/>
                <w:bCs/>
              </w:rPr>
              <w:t>Ring use during sex</w:t>
            </w:r>
          </w:p>
        </w:tc>
        <w:tc>
          <w:tcPr>
            <w:tcW w:w="8682" w:type="dxa"/>
          </w:tcPr>
          <w:p w14:paraId="072026C1" w14:textId="1AA736A0" w:rsidR="00107322" w:rsidRPr="00606B35" w:rsidRDefault="00107322" w:rsidP="00107322">
            <w:pPr>
              <w:spacing w:after="120"/>
              <w:rPr>
                <w:rFonts w:cstheme="minorHAnsi"/>
                <w:color w:val="000000"/>
              </w:rPr>
            </w:pPr>
            <w:r w:rsidRPr="00606B35">
              <w:rPr>
                <w:rFonts w:cstheme="minorHAnsi"/>
                <w:color w:val="000000"/>
              </w:rPr>
              <w:t xml:space="preserve">The ring does not interfere with sexual intercourse and should be worn during sex. It can be used with condoms (internal and external) and condom-compatible lubricant. Although it is unlikely, it is possible that your partner may feel the ring during sex. If this happens, you may need to confirm ring placement, as it may mean that the ring should be pushed further into the vagina. The ring does not cause harm to your </w:t>
            </w:r>
            <w:proofErr w:type="gramStart"/>
            <w:r w:rsidRPr="00606B35">
              <w:rPr>
                <w:rFonts w:cstheme="minorHAnsi"/>
                <w:color w:val="000000"/>
              </w:rPr>
              <w:t>partner</w:t>
            </w:r>
            <w:r w:rsidR="000D6C6B">
              <w:rPr>
                <w:rFonts w:cstheme="minorHAnsi"/>
                <w:color w:val="000000"/>
              </w:rPr>
              <w:t>.</w:t>
            </w:r>
            <w:r w:rsidR="00F952DB">
              <w:rPr>
                <w:rFonts w:cstheme="minorHAnsi"/>
                <w:color w:val="000000"/>
              </w:rPr>
              <w:t>.</w:t>
            </w:r>
            <w:proofErr w:type="gramEnd"/>
          </w:p>
        </w:tc>
      </w:tr>
      <w:tr w:rsidR="00107322" w:rsidRPr="00606B35" w14:paraId="7F0E30AA" w14:textId="77777777" w:rsidTr="52CC4247">
        <w:tc>
          <w:tcPr>
            <w:tcW w:w="1843" w:type="dxa"/>
          </w:tcPr>
          <w:p w14:paraId="3BBE4845" w14:textId="40BDD479" w:rsidR="00107322" w:rsidRPr="00606B35" w:rsidRDefault="00107322" w:rsidP="00107322">
            <w:pPr>
              <w:spacing w:after="120"/>
            </w:pPr>
            <w:r w:rsidRPr="56D00486">
              <w:t>The ring and menses</w:t>
            </w:r>
          </w:p>
        </w:tc>
        <w:tc>
          <w:tcPr>
            <w:tcW w:w="8682" w:type="dxa"/>
          </w:tcPr>
          <w:p w14:paraId="4D8D0677" w14:textId="4FACAD20" w:rsidR="00107322" w:rsidRPr="00606B35" w:rsidRDefault="00107322" w:rsidP="00107322">
            <w:pPr>
              <w:spacing w:after="120"/>
              <w:rPr>
                <w:rFonts w:cstheme="minorHAnsi"/>
              </w:rPr>
            </w:pPr>
            <w:r w:rsidRPr="00606B35">
              <w:rPr>
                <w:rFonts w:cstheme="minorHAnsi"/>
                <w:color w:val="000000"/>
              </w:rPr>
              <w:t xml:space="preserve">The ring should be worn for one month, including during menses, to be most effective. The ring does not cover the cervix and does not interrupt the flow of menstrual fluids. </w:t>
            </w:r>
            <w:r w:rsidRPr="00606B35">
              <w:rPr>
                <w:rFonts w:cstheme="minorHAnsi"/>
              </w:rPr>
              <w:t xml:space="preserve">There </w:t>
            </w:r>
            <w:proofErr w:type="gramStart"/>
            <w:r w:rsidRPr="00606B35">
              <w:rPr>
                <w:rFonts w:cstheme="minorHAnsi"/>
              </w:rPr>
              <w:t>are</w:t>
            </w:r>
            <w:proofErr w:type="gramEnd"/>
            <w:r w:rsidRPr="00606B35">
              <w:rPr>
                <w:rFonts w:cstheme="minorHAnsi"/>
              </w:rPr>
              <w:t xml:space="preserve"> no safety concerns related to the use of tampons, menstrual pads,</w:t>
            </w:r>
            <w:r>
              <w:rPr>
                <w:rFonts w:cstheme="minorHAnsi"/>
              </w:rPr>
              <w:t xml:space="preserve"> </w:t>
            </w:r>
            <w:r w:rsidRPr="00606B35">
              <w:rPr>
                <w:rFonts w:cstheme="minorHAnsi"/>
              </w:rPr>
              <w:t xml:space="preserve">or other menstrual products while using the ring. </w:t>
            </w:r>
          </w:p>
          <w:p w14:paraId="67E82695" w14:textId="405EAF16" w:rsidR="00107322" w:rsidRDefault="00107322" w:rsidP="00107322">
            <w:pPr>
              <w:spacing w:after="120"/>
              <w:rPr>
                <w:rFonts w:cstheme="minorHAnsi"/>
                <w:color w:val="000000"/>
              </w:rPr>
            </w:pPr>
            <w:r w:rsidRPr="00606B35">
              <w:rPr>
                <w:rFonts w:cstheme="minorHAnsi"/>
              </w:rPr>
              <w:t xml:space="preserve">If </w:t>
            </w:r>
            <w:r>
              <w:rPr>
                <w:rFonts w:cstheme="minorHAnsi"/>
              </w:rPr>
              <w:t xml:space="preserve">you are </w:t>
            </w:r>
            <w:r w:rsidRPr="00606B35">
              <w:rPr>
                <w:rFonts w:cstheme="minorHAnsi"/>
              </w:rPr>
              <w:t xml:space="preserve">using a tampon, be careful not to accidentally remove the ring when removing the tampon. </w:t>
            </w:r>
            <w:r w:rsidRPr="00606B35">
              <w:rPr>
                <w:rFonts w:cstheme="minorHAnsi"/>
                <w:color w:val="000000"/>
              </w:rPr>
              <w:t>Although it is unlikely, it is possible that the ring may fall out. If this happens in a clean location, the ring should be rinsed in clean water and reinserted. If the ring falls out in a dirty location, the ring should be replaced with a new ring.</w:t>
            </w:r>
          </w:p>
          <w:p w14:paraId="0DE75756" w14:textId="06C2B524" w:rsidR="00107322" w:rsidRPr="00606B35" w:rsidRDefault="00107322" w:rsidP="00107322">
            <w:pPr>
              <w:spacing w:after="120"/>
              <w:rPr>
                <w:rFonts w:cstheme="minorHAnsi"/>
                <w:color w:val="000000"/>
              </w:rPr>
            </w:pPr>
            <w:r w:rsidRPr="00C0338A">
              <w:rPr>
                <w:rFonts w:cstheme="minorHAnsi"/>
                <w:b/>
                <w:bCs/>
                <w:color w:val="000000"/>
              </w:rPr>
              <w:t>PROVIDER NOTE:</w:t>
            </w:r>
            <w:r>
              <w:rPr>
                <w:rFonts w:cstheme="minorHAnsi"/>
                <w:color w:val="000000"/>
              </w:rPr>
              <w:t xml:space="preserve"> Some clients may choose to time insertion and removal of the ring with their menstrual cycle. For clients who chose to do so, they should be reminded that </w:t>
            </w:r>
            <w:r w:rsidRPr="00AD48D6">
              <w:t>levels of dapivirine drop quickly after ring removal</w:t>
            </w:r>
            <w:r>
              <w:t xml:space="preserve"> and that if not reinserted or replaced immediately, a </w:t>
            </w:r>
            <w:proofErr w:type="gramStart"/>
            <w:r>
              <w:t>PrEP</w:t>
            </w:r>
            <w:proofErr w:type="gramEnd"/>
            <w:r>
              <w:t xml:space="preserve"> </w:t>
            </w:r>
            <w:r>
              <w:rPr>
                <w:rFonts w:cstheme="minorHAnsi"/>
                <w:color w:val="000000"/>
              </w:rPr>
              <w:t xml:space="preserve">ring </w:t>
            </w:r>
            <w:r w:rsidRPr="00AD48D6">
              <w:t>must be in place for at least 24 hours for maximum protection</w:t>
            </w:r>
            <w:r>
              <w:t xml:space="preserve">. If they choose to remove the ring for the duration of menstruation and anticipate sexual exposures during that time, they should be counseled on other effective HIV prevention strategies until they can reinsert and restart ring use. </w:t>
            </w:r>
          </w:p>
        </w:tc>
      </w:tr>
      <w:tr w:rsidR="00107322" w:rsidRPr="00606B35" w14:paraId="45166708" w14:textId="77777777" w:rsidTr="52CC4247">
        <w:tc>
          <w:tcPr>
            <w:tcW w:w="1843" w:type="dxa"/>
          </w:tcPr>
          <w:p w14:paraId="6EDCF3C6" w14:textId="2BE76DB1" w:rsidR="00107322" w:rsidRPr="00606B35" w:rsidRDefault="00107322" w:rsidP="00107322">
            <w:pPr>
              <w:spacing w:after="120"/>
              <w:rPr>
                <w:rFonts w:cstheme="minorHAnsi"/>
                <w:bCs/>
              </w:rPr>
            </w:pPr>
            <w:r w:rsidRPr="00606B35">
              <w:rPr>
                <w:rFonts w:cstheme="minorHAnsi"/>
                <w:bCs/>
              </w:rPr>
              <w:t>Sharing the ring</w:t>
            </w:r>
          </w:p>
        </w:tc>
        <w:tc>
          <w:tcPr>
            <w:tcW w:w="8682" w:type="dxa"/>
          </w:tcPr>
          <w:p w14:paraId="2D80E678" w14:textId="6867E5F5" w:rsidR="00107322" w:rsidRPr="00606B35" w:rsidRDefault="00107322" w:rsidP="00107322">
            <w:pPr>
              <w:spacing w:after="120"/>
              <w:rPr>
                <w:rFonts w:cstheme="minorHAnsi"/>
              </w:rPr>
            </w:pPr>
            <w:r w:rsidRPr="00606B35">
              <w:rPr>
                <w:rFonts w:cstheme="minorHAnsi"/>
                <w:color w:val="000000"/>
              </w:rPr>
              <w:t>The ring should not be shared with others. If other people you know are interested in using the ring, they can come here.</w:t>
            </w:r>
          </w:p>
        </w:tc>
      </w:tr>
      <w:tr w:rsidR="00107322" w:rsidRPr="00606B35" w14:paraId="07DAB5C4" w14:textId="77777777" w:rsidTr="52CC4247">
        <w:tc>
          <w:tcPr>
            <w:tcW w:w="1843" w:type="dxa"/>
          </w:tcPr>
          <w:p w14:paraId="510BD2A2" w14:textId="49432B66" w:rsidR="00107322" w:rsidRPr="00606B35" w:rsidRDefault="00107322" w:rsidP="00107322">
            <w:pPr>
              <w:spacing w:after="120"/>
              <w:rPr>
                <w:rFonts w:cstheme="minorHAnsi"/>
                <w:bCs/>
              </w:rPr>
            </w:pPr>
            <w:r w:rsidRPr="00606B35">
              <w:rPr>
                <w:rFonts w:cstheme="minorHAnsi"/>
                <w:bCs/>
              </w:rPr>
              <w:t>The ring and douching</w:t>
            </w:r>
          </w:p>
        </w:tc>
        <w:tc>
          <w:tcPr>
            <w:tcW w:w="8682" w:type="dxa"/>
          </w:tcPr>
          <w:p w14:paraId="4D9C7FAC" w14:textId="30E4D334" w:rsidR="00107322" w:rsidRPr="00606B35" w:rsidRDefault="00107322" w:rsidP="00107322">
            <w:pPr>
              <w:spacing w:after="120"/>
            </w:pPr>
            <w:r w:rsidRPr="772E2DA6">
              <w:rPr>
                <w:color w:val="201F1E"/>
                <w:shd w:val="clear" w:color="auto" w:fill="FFFFFF"/>
              </w:rPr>
              <w:t>It is possible that flushing the vagina with water to clean it (or any form of douching) may dilute the concentration of dapivirine in the vagina.</w:t>
            </w:r>
            <w:r w:rsidRPr="772E2DA6">
              <w:t xml:space="preserve"> Douching is not recommended at any time, including while using the ring, because it may have a negative impact on the health of the vagina. </w:t>
            </w:r>
          </w:p>
        </w:tc>
      </w:tr>
      <w:tr w:rsidR="00107322" w:rsidRPr="00606B35" w14:paraId="52514747" w14:textId="77777777" w:rsidTr="52CC4247">
        <w:tc>
          <w:tcPr>
            <w:tcW w:w="1843" w:type="dxa"/>
          </w:tcPr>
          <w:p w14:paraId="7FD0B36E" w14:textId="62740165" w:rsidR="00107322" w:rsidRPr="00606B35" w:rsidRDefault="00107322" w:rsidP="00107322">
            <w:pPr>
              <w:spacing w:after="120"/>
              <w:rPr>
                <w:rFonts w:cstheme="minorHAnsi"/>
              </w:rPr>
            </w:pPr>
            <w:r w:rsidRPr="00606B35">
              <w:rPr>
                <w:rFonts w:cstheme="minorHAnsi"/>
              </w:rPr>
              <w:t>Ring storage</w:t>
            </w:r>
          </w:p>
        </w:tc>
        <w:tc>
          <w:tcPr>
            <w:tcW w:w="8682" w:type="dxa"/>
          </w:tcPr>
          <w:p w14:paraId="04808A96" w14:textId="6C91F207" w:rsidR="00107322" w:rsidRPr="00606B35" w:rsidRDefault="00107322" w:rsidP="00107322">
            <w:pPr>
              <w:spacing w:after="120"/>
              <w:rPr>
                <w:rFonts w:cstheme="minorHAnsi"/>
              </w:rPr>
            </w:pPr>
            <w:r w:rsidRPr="00606B35">
              <w:rPr>
                <w:rFonts w:cstheme="minorHAnsi"/>
                <w:color w:val="000000"/>
              </w:rPr>
              <w:t>Store rings in their original packaging in a cool, dry place, away from children and direct sunlight and secured from any pets or animals. The ring does not need to be refrigerated and can be safely stored at or around 25°C or 77°F for up to five years</w:t>
            </w:r>
            <w:r>
              <w:rPr>
                <w:rFonts w:cstheme="minorHAnsi"/>
                <w:color w:val="000000"/>
              </w:rPr>
              <w:t xml:space="preserve"> from when it was made. You can check the package for the expiration date</w:t>
            </w:r>
            <w:r w:rsidRPr="00606B35">
              <w:rPr>
                <w:rFonts w:cstheme="minorHAnsi"/>
                <w:color w:val="000000"/>
              </w:rPr>
              <w:t>.</w:t>
            </w:r>
          </w:p>
        </w:tc>
      </w:tr>
      <w:tr w:rsidR="00107322" w:rsidRPr="00DD508F" w14:paraId="4D96CC74" w14:textId="77777777" w:rsidTr="52CC4247">
        <w:tc>
          <w:tcPr>
            <w:tcW w:w="1843" w:type="dxa"/>
          </w:tcPr>
          <w:p w14:paraId="031133ED" w14:textId="4F2EC96D" w:rsidR="00107322" w:rsidRPr="00606B35" w:rsidRDefault="00107322" w:rsidP="00107322">
            <w:pPr>
              <w:spacing w:after="120"/>
              <w:rPr>
                <w:rFonts w:cstheme="minorHAnsi"/>
              </w:rPr>
            </w:pPr>
            <w:r w:rsidRPr="00606B35">
              <w:rPr>
                <w:rFonts w:cstheme="minorHAnsi"/>
              </w:rPr>
              <w:t>Ring disposal</w:t>
            </w:r>
          </w:p>
        </w:tc>
        <w:tc>
          <w:tcPr>
            <w:tcW w:w="8682" w:type="dxa"/>
          </w:tcPr>
          <w:p w14:paraId="0F21C82A" w14:textId="77777777" w:rsidR="00107322" w:rsidRDefault="00107322" w:rsidP="00107322">
            <w:pPr>
              <w:spacing w:after="120"/>
              <w:rPr>
                <w:rFonts w:cstheme="minorHAnsi"/>
                <w:color w:val="000000"/>
              </w:rPr>
            </w:pPr>
            <w:r w:rsidRPr="00606B35">
              <w:rPr>
                <w:rFonts w:cstheme="minorHAnsi"/>
                <w:color w:val="000000"/>
              </w:rPr>
              <w:t xml:space="preserve">Used rings can be placed inside the original wrapper provided with the ring or wrapped in tissue or toilet paper and disposed of in a trash bin out of </w:t>
            </w:r>
            <w:r>
              <w:rPr>
                <w:rFonts w:cstheme="minorHAnsi"/>
                <w:color w:val="000000"/>
              </w:rPr>
              <w:t xml:space="preserve">the </w:t>
            </w:r>
            <w:r w:rsidRPr="00606B35">
              <w:rPr>
                <w:rFonts w:cstheme="minorHAnsi"/>
                <w:color w:val="000000"/>
              </w:rPr>
              <w:t>reach of children. If you prefer, you can return your used ring to your health care provider/service provision point.</w:t>
            </w:r>
          </w:p>
          <w:p w14:paraId="4601C95D" w14:textId="1173A374" w:rsidR="00DD22EB" w:rsidRPr="00606B35" w:rsidRDefault="00DD22EB" w:rsidP="00107322">
            <w:pPr>
              <w:spacing w:after="120"/>
              <w:rPr>
                <w:rFonts w:cstheme="minorHAnsi"/>
              </w:rPr>
            </w:pPr>
          </w:p>
        </w:tc>
      </w:tr>
      <w:tr w:rsidR="00107322" w:rsidRPr="00606B35" w14:paraId="70C9A527" w14:textId="77777777" w:rsidTr="56D00486">
        <w:tc>
          <w:tcPr>
            <w:tcW w:w="10525" w:type="dxa"/>
            <w:gridSpan w:val="2"/>
            <w:shd w:val="clear" w:color="auto" w:fill="D9E2F3" w:themeFill="accent1" w:themeFillTint="33"/>
          </w:tcPr>
          <w:p w14:paraId="4FEDCC76" w14:textId="79D2CA21" w:rsidR="00107322" w:rsidRPr="00606B35" w:rsidRDefault="00107322" w:rsidP="00107322">
            <w:pPr>
              <w:spacing w:after="120"/>
              <w:jc w:val="center"/>
              <w:rPr>
                <w:b/>
                <w:color w:val="000000"/>
              </w:rPr>
            </w:pPr>
            <w:r w:rsidRPr="0294A27B">
              <w:rPr>
                <w:b/>
                <w:color w:val="000000" w:themeColor="text1"/>
              </w:rPr>
              <w:lastRenderedPageBreak/>
              <w:t>FOR CLIENTS WHO CHOOSE CAB PrEP</w:t>
            </w:r>
          </w:p>
        </w:tc>
      </w:tr>
      <w:tr w:rsidR="00107322" w:rsidRPr="00DD508F" w14:paraId="10623666" w14:textId="77777777" w:rsidTr="52CC4247">
        <w:tc>
          <w:tcPr>
            <w:tcW w:w="1843" w:type="dxa"/>
          </w:tcPr>
          <w:p w14:paraId="3D10BAC0" w14:textId="05153365" w:rsidR="00107322" w:rsidRPr="007459EB" w:rsidRDefault="00107322" w:rsidP="00107322">
            <w:pPr>
              <w:spacing w:after="120"/>
              <w:rPr>
                <w:color w:val="000000"/>
              </w:rPr>
            </w:pPr>
            <w:r w:rsidRPr="0294A27B">
              <w:rPr>
                <w:color w:val="000000" w:themeColor="text1"/>
              </w:rPr>
              <w:t>Missed CAB PrEP injection(s)</w:t>
            </w:r>
          </w:p>
        </w:tc>
        <w:tc>
          <w:tcPr>
            <w:tcW w:w="8682" w:type="dxa"/>
          </w:tcPr>
          <w:p w14:paraId="235F0C29" w14:textId="1C4B2D33" w:rsidR="00107322" w:rsidRPr="00E034D1" w:rsidRDefault="00107322" w:rsidP="00107322">
            <w:pPr>
              <w:spacing w:after="120"/>
              <w:rPr>
                <w:color w:val="000000"/>
              </w:rPr>
            </w:pPr>
            <w:r w:rsidRPr="0294A27B">
              <w:rPr>
                <w:color w:val="000000" w:themeColor="text1"/>
              </w:rPr>
              <w:t xml:space="preserve">If you miss an injection visit, it is important to contact your health care provider immediately and schedule an appointment for the missed injection as soon as possible. If keeping to the injection schedule is not working for you, we can discuss changing to a different PrEP method or HIV prevention strategy. </w:t>
            </w:r>
          </w:p>
        </w:tc>
      </w:tr>
      <w:tr w:rsidR="00107322" w:rsidRPr="00DD508F" w14:paraId="3A2FEC1D" w14:textId="77777777" w:rsidTr="00765AF8">
        <w:trPr>
          <w:trHeight w:val="1296"/>
        </w:trPr>
        <w:tc>
          <w:tcPr>
            <w:tcW w:w="1843" w:type="dxa"/>
          </w:tcPr>
          <w:p w14:paraId="164B26B5" w14:textId="1FA61008" w:rsidR="00107322" w:rsidRPr="007459EB" w:rsidRDefault="00107322" w:rsidP="00107322">
            <w:pPr>
              <w:spacing w:after="120"/>
              <w:rPr>
                <w:color w:val="000000"/>
              </w:rPr>
            </w:pPr>
            <w:r w:rsidRPr="0294A27B">
              <w:rPr>
                <w:color w:val="000000" w:themeColor="text1"/>
              </w:rPr>
              <w:t>Switching from CAB PrEP to other PrEP methods</w:t>
            </w:r>
          </w:p>
        </w:tc>
        <w:tc>
          <w:tcPr>
            <w:tcW w:w="8682" w:type="dxa"/>
          </w:tcPr>
          <w:p w14:paraId="596E37ED" w14:textId="3D2F29BF" w:rsidR="00107322" w:rsidRDefault="00107322" w:rsidP="00107322">
            <w:pPr>
              <w:spacing w:after="120"/>
              <w:rPr>
                <w:color w:val="000000"/>
              </w:rPr>
            </w:pPr>
            <w:r w:rsidRPr="0294A27B">
              <w:rPr>
                <w:color w:val="000000" w:themeColor="text1"/>
              </w:rPr>
              <w:t xml:space="preserve">It is okay to stop CAB PrEP and switch to another PrEP method. Depending on the method you would like to switch to, we can discuss the best way to switch safely and effectively. </w:t>
            </w:r>
          </w:p>
          <w:p w14:paraId="5C18B04A" w14:textId="1BE76408" w:rsidR="00107322" w:rsidRPr="00E034D1" w:rsidRDefault="00107322" w:rsidP="00107322">
            <w:pPr>
              <w:spacing w:after="120"/>
              <w:rPr>
                <w:color w:val="000000"/>
              </w:rPr>
            </w:pPr>
            <w:r w:rsidRPr="0294A27B">
              <w:rPr>
                <w:color w:val="000000" w:themeColor="text1"/>
              </w:rPr>
              <w:t xml:space="preserve">If you think you might want to become pregnant and are still </w:t>
            </w:r>
            <w:r>
              <w:rPr>
                <w:color w:val="000000" w:themeColor="text1"/>
              </w:rPr>
              <w:t xml:space="preserve">potentially </w:t>
            </w:r>
            <w:r w:rsidRPr="0294A27B">
              <w:rPr>
                <w:color w:val="000000" w:themeColor="text1"/>
              </w:rPr>
              <w:t xml:space="preserve">exposed to HIV, we can talk about </w:t>
            </w:r>
            <w:r w:rsidR="00A432D0">
              <w:rPr>
                <w:color w:val="000000" w:themeColor="text1"/>
              </w:rPr>
              <w:t xml:space="preserve">if you would like to stay on CAB PrEP or switch to another method. </w:t>
            </w:r>
          </w:p>
        </w:tc>
      </w:tr>
      <w:tr w:rsidR="00107322" w:rsidRPr="00DD508F" w14:paraId="20DBC4E2" w14:textId="77777777" w:rsidTr="52CC4247">
        <w:tc>
          <w:tcPr>
            <w:tcW w:w="1843" w:type="dxa"/>
          </w:tcPr>
          <w:p w14:paraId="5C69EBA4" w14:textId="13925DBD" w:rsidR="00107322" w:rsidRPr="007459EB" w:rsidRDefault="00107322" w:rsidP="00107322">
            <w:pPr>
              <w:spacing w:after="120"/>
              <w:rPr>
                <w:color w:val="000000"/>
              </w:rPr>
            </w:pPr>
            <w:r w:rsidRPr="0294A27B">
              <w:rPr>
                <w:color w:val="000000" w:themeColor="text1"/>
              </w:rPr>
              <w:t>Stopping CAB PrEP and the “tail period”</w:t>
            </w:r>
          </w:p>
        </w:tc>
        <w:tc>
          <w:tcPr>
            <w:tcW w:w="8682" w:type="dxa"/>
          </w:tcPr>
          <w:p w14:paraId="0D346C21" w14:textId="798B6246" w:rsidR="00107322" w:rsidRDefault="00107322" w:rsidP="00107322">
            <w:pPr>
              <w:spacing w:after="120"/>
              <w:rPr>
                <w:color w:val="000000"/>
              </w:rPr>
            </w:pPr>
            <w:r w:rsidRPr="10A43560">
              <w:rPr>
                <w:color w:val="000000" w:themeColor="text1"/>
              </w:rPr>
              <w:t xml:space="preserve">When </w:t>
            </w:r>
            <w:r>
              <w:rPr>
                <w:color w:val="000000" w:themeColor="text1"/>
              </w:rPr>
              <w:t xml:space="preserve">you </w:t>
            </w:r>
            <w:r w:rsidRPr="10A43560">
              <w:rPr>
                <w:color w:val="000000" w:themeColor="text1"/>
              </w:rPr>
              <w:t>stop</w:t>
            </w:r>
            <w:r>
              <w:rPr>
                <w:color w:val="000000" w:themeColor="text1"/>
              </w:rPr>
              <w:t xml:space="preserve"> getting</w:t>
            </w:r>
            <w:r w:rsidRPr="10A43560">
              <w:rPr>
                <w:color w:val="000000" w:themeColor="text1"/>
              </w:rPr>
              <w:t xml:space="preserve"> CAB PrEP injections, the drug cabotegravir can remain in your body for about a year, but not at high enough levels to prevent HIV. At these levels, if you acquire HIV, you may develop drug resistance, meaning that medicines used to treat HIV may be less effective or not work at all. This period whe</w:t>
            </w:r>
            <w:r>
              <w:rPr>
                <w:color w:val="000000" w:themeColor="text1"/>
              </w:rPr>
              <w:t>n</w:t>
            </w:r>
            <w:r w:rsidRPr="10A43560">
              <w:rPr>
                <w:color w:val="000000" w:themeColor="text1"/>
              </w:rPr>
              <w:t xml:space="preserve"> HIV drug resistance is possible is called the “tail period.” If you decide to stop your CAB PrEP injections, we should talk about transitioning you to </w:t>
            </w:r>
            <w:r>
              <w:rPr>
                <w:color w:val="000000" w:themeColor="text1"/>
              </w:rPr>
              <w:t>another</w:t>
            </w:r>
            <w:r w:rsidRPr="10A43560">
              <w:rPr>
                <w:color w:val="000000" w:themeColor="text1"/>
              </w:rPr>
              <w:t xml:space="preserve"> PrEP</w:t>
            </w:r>
            <w:r>
              <w:rPr>
                <w:color w:val="000000" w:themeColor="text1"/>
              </w:rPr>
              <w:t xml:space="preserve"> method</w:t>
            </w:r>
            <w:r w:rsidRPr="10A43560">
              <w:rPr>
                <w:color w:val="000000" w:themeColor="text1"/>
              </w:rPr>
              <w:t xml:space="preserve"> or another HIV prevention strategy during the tail period</w:t>
            </w:r>
            <w:r>
              <w:rPr>
                <w:color w:val="000000" w:themeColor="text1"/>
              </w:rPr>
              <w:t xml:space="preserve"> for as long as exposure to HIV is possible</w:t>
            </w:r>
            <w:r w:rsidRPr="10A43560">
              <w:rPr>
                <w:color w:val="000000" w:themeColor="text1"/>
              </w:rPr>
              <w:t xml:space="preserve">. </w:t>
            </w:r>
          </w:p>
          <w:p w14:paraId="6681E930" w14:textId="03A85579" w:rsidR="00107322" w:rsidRPr="00A614BB" w:rsidRDefault="00107322" w:rsidP="00107322">
            <w:pPr>
              <w:spacing w:after="120"/>
              <w:rPr>
                <w:rFonts w:cstheme="minorHAnsi"/>
                <w:color w:val="000000"/>
              </w:rPr>
            </w:pPr>
            <w:r>
              <w:rPr>
                <w:rFonts w:cstheme="minorHAnsi"/>
                <w:color w:val="000000"/>
              </w:rPr>
              <w:t xml:space="preserve">We do not yet have enough information about pregnancy and breastfeeding during the tail period; therefore, if you are thinking of becoming pregnant or don’t want to use contraception during the tail period, we should discuss what options will be best for you. </w:t>
            </w:r>
          </w:p>
        </w:tc>
      </w:tr>
    </w:tbl>
    <w:p w14:paraId="4C6C63D7" w14:textId="79C2C543" w:rsidR="00E6610E" w:rsidRPr="00DD508F" w:rsidRDefault="00E6610E" w:rsidP="00DD508F">
      <w:pPr>
        <w:spacing w:after="120" w:line="240" w:lineRule="auto"/>
        <w:rPr>
          <w:rFonts w:cstheme="minorHAnsi"/>
        </w:rPr>
      </w:pPr>
    </w:p>
    <w:sectPr w:rsidR="00E6610E" w:rsidRPr="00DD508F"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F659A" w14:textId="77777777" w:rsidR="001A1ACE" w:rsidRDefault="001A1ACE" w:rsidP="0082095D">
      <w:pPr>
        <w:spacing w:after="0" w:line="240" w:lineRule="auto"/>
      </w:pPr>
      <w:r>
        <w:separator/>
      </w:r>
    </w:p>
  </w:endnote>
  <w:endnote w:type="continuationSeparator" w:id="0">
    <w:p w14:paraId="4D002A69" w14:textId="77777777" w:rsidR="001A1ACE" w:rsidRDefault="001A1ACE" w:rsidP="0082095D">
      <w:pPr>
        <w:spacing w:after="0" w:line="240" w:lineRule="auto"/>
      </w:pPr>
      <w:r>
        <w:continuationSeparator/>
      </w:r>
    </w:p>
  </w:endnote>
  <w:endnote w:type="continuationNotice" w:id="1">
    <w:p w14:paraId="1C123904" w14:textId="77777777" w:rsidR="001A1ACE" w:rsidRDefault="001A1A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78497" w14:textId="77777777" w:rsidR="00C630B6" w:rsidRDefault="00E24D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E8942" w14:textId="7AF77B99" w:rsidR="00C630B6" w:rsidRDefault="002113BD">
    <w:pPr>
      <w:pBdr>
        <w:top w:val="nil"/>
        <w:left w:val="nil"/>
        <w:bottom w:val="nil"/>
        <w:right w:val="nil"/>
        <w:between w:val="nil"/>
      </w:pBdr>
      <w:tabs>
        <w:tab w:val="center" w:pos="4680"/>
        <w:tab w:val="right" w:pos="9360"/>
      </w:tabs>
      <w:spacing w:after="0" w:line="240" w:lineRule="auto"/>
      <w:rPr>
        <w:color w:val="000000"/>
      </w:rPr>
    </w:pPr>
    <w:r w:rsidRPr="00D73807">
      <w:rPr>
        <w:noProof/>
        <w:color w:val="000000"/>
      </w:rPr>
      <w:drawing>
        <wp:anchor distT="0" distB="0" distL="114300" distR="114300" simplePos="0" relativeHeight="251660288"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1607022860" name="Picture 16070228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8240"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1426831905" name="Picture 142683190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6192"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1009893639" name="Picture 10098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7D6ED" w14:textId="77777777" w:rsidR="001A1ACE" w:rsidRDefault="001A1ACE" w:rsidP="0082095D">
      <w:pPr>
        <w:spacing w:after="0" w:line="240" w:lineRule="auto"/>
      </w:pPr>
    </w:p>
  </w:footnote>
  <w:footnote w:type="continuationSeparator" w:id="0">
    <w:p w14:paraId="601C8045" w14:textId="77777777" w:rsidR="001A1ACE" w:rsidRDefault="001A1ACE" w:rsidP="0082095D">
      <w:pPr>
        <w:spacing w:after="0" w:line="240" w:lineRule="auto"/>
      </w:pPr>
      <w:r>
        <w:continuationSeparator/>
      </w:r>
    </w:p>
  </w:footnote>
  <w:footnote w:type="continuationNotice" w:id="1">
    <w:p w14:paraId="64EA2276" w14:textId="77777777" w:rsidR="001A1ACE" w:rsidRDefault="001A1ACE">
      <w:pPr>
        <w:spacing w:after="0" w:line="240" w:lineRule="auto"/>
      </w:pPr>
    </w:p>
  </w:footnote>
  <w:footnote w:id="2">
    <w:p w14:paraId="43D6AA37" w14:textId="31FD8CDB" w:rsidR="0069568C" w:rsidRDefault="0069568C">
      <w:pPr>
        <w:pStyle w:val="FootnoteText"/>
      </w:pPr>
      <w:r>
        <w:rPr>
          <w:rStyle w:val="FootnoteReference"/>
        </w:rPr>
        <w:footnoteRef/>
      </w:r>
      <w:r w:rsidRPr="00D563EE">
        <w:rPr>
          <w:lang w:val="fr-FR"/>
        </w:rPr>
        <w:t xml:space="preserve"> </w:t>
      </w:r>
      <w:r w:rsidR="00682AC2" w:rsidRPr="00D563EE">
        <w:rPr>
          <w:lang w:val="fr-FR"/>
        </w:rPr>
        <w:t xml:space="preserve">McGuire C, Atieno MA, </w:t>
      </w:r>
      <w:r w:rsidR="00F97CF8" w:rsidRPr="00D563EE">
        <w:rPr>
          <w:lang w:val="fr-FR"/>
        </w:rPr>
        <w:t>Hoke T, Jeckonia P, K’orimba K, Lorenzetti L</w:t>
      </w:r>
      <w:r w:rsidR="00756B61">
        <w:rPr>
          <w:lang w:val="fr-FR"/>
        </w:rPr>
        <w:t>,</w:t>
      </w:r>
      <w:r w:rsidR="00F97CF8" w:rsidRPr="00D563EE">
        <w:rPr>
          <w:lang w:val="fr-FR"/>
        </w:rPr>
        <w:t xml:space="preserve"> et al. </w:t>
      </w:r>
      <w:r w:rsidR="00F97CF8">
        <w:t xml:space="preserve">PrEP method switching: Will it yield greater coverage of HIV protection? Applying lessons learned from family planning to guide future research in the context of PrEP choice. </w:t>
      </w:r>
      <w:r w:rsidR="00B438F3">
        <w:t>Curr HIV/AIDS</w:t>
      </w:r>
      <w:r w:rsidR="000A71BD">
        <w:t xml:space="preserve"> Rep. 2024 July 24</w:t>
      </w:r>
      <w:r w:rsidR="0095007F">
        <w:t xml:space="preserve">. </w:t>
      </w:r>
      <w:r w:rsidR="0072614A">
        <w:t xml:space="preserve">Available from: </w:t>
      </w:r>
      <w:hyperlink r:id="rId1" w:history="1">
        <w:r w:rsidR="0072614A" w:rsidRPr="007A034F">
          <w:rPr>
            <w:rStyle w:val="Hyperlink"/>
          </w:rPr>
          <w:t>https://doi.org/10.1007/s11904-024-00704-1</w:t>
        </w:r>
      </w:hyperlink>
      <w:r w:rsidR="0072614A">
        <w:t xml:space="preserve">. </w:t>
      </w:r>
    </w:p>
  </w:footnote>
  <w:footnote w:id="3">
    <w:p w14:paraId="3BA6AF2F" w14:textId="1BA03732" w:rsidR="00531DB2" w:rsidRDefault="00531DB2">
      <w:pPr>
        <w:pStyle w:val="FootnoteText"/>
      </w:pPr>
      <w:r>
        <w:rPr>
          <w:rStyle w:val="FootnoteReference"/>
        </w:rPr>
        <w:footnoteRef/>
      </w:r>
      <w:r>
        <w:t xml:space="preserve"> </w:t>
      </w:r>
      <w:r w:rsidR="002E5C7B" w:rsidRPr="002E5C7B">
        <w:rPr>
          <w:iCs/>
        </w:rPr>
        <w:t>Injection drug use is mentioned in this guidance; however, first-line prevention strategies for people who inject drugs (PWID) are needle exchange and/or drug use harm reduction and treatment. Daily oral PrEP has some preventative effects for this population and should be offered as part of a larger prevention package</w:t>
      </w:r>
      <w:r w:rsidR="000B7271">
        <w:rPr>
          <w:iCs/>
        </w:rPr>
        <w:t xml:space="preserve">. </w:t>
      </w:r>
      <w:r w:rsidR="00287C4B">
        <w:rPr>
          <w:iCs/>
        </w:rPr>
        <w:t xml:space="preserve">Importantly, </w:t>
      </w:r>
      <w:r w:rsidR="00566589">
        <w:rPr>
          <w:iCs/>
        </w:rPr>
        <w:t xml:space="preserve">PWID may also </w:t>
      </w:r>
      <w:r w:rsidR="00C1650A">
        <w:rPr>
          <w:iCs/>
        </w:rPr>
        <w:t>have sexual exposures</w:t>
      </w:r>
      <w:r w:rsidR="000E1A16">
        <w:rPr>
          <w:iCs/>
        </w:rPr>
        <w:t xml:space="preserve"> </w:t>
      </w:r>
      <w:r w:rsidR="00D57D11">
        <w:rPr>
          <w:iCs/>
        </w:rPr>
        <w:t>for which</w:t>
      </w:r>
      <w:r w:rsidR="000E1A16">
        <w:rPr>
          <w:iCs/>
        </w:rPr>
        <w:t xml:space="preserve"> needle exchange and/or drug use harm reduction and treatment</w:t>
      </w:r>
      <w:r w:rsidR="006909A4">
        <w:rPr>
          <w:iCs/>
        </w:rPr>
        <w:t xml:space="preserve"> </w:t>
      </w:r>
      <w:r w:rsidR="009F3621">
        <w:rPr>
          <w:iCs/>
        </w:rPr>
        <w:t>do</w:t>
      </w:r>
      <w:r w:rsidR="000E1A16">
        <w:rPr>
          <w:iCs/>
        </w:rPr>
        <w:t xml:space="preserve"> not provide </w:t>
      </w:r>
      <w:r w:rsidR="00714EFF">
        <w:rPr>
          <w:iCs/>
        </w:rPr>
        <w:t xml:space="preserve">necessary </w:t>
      </w:r>
      <w:r w:rsidR="0054341A">
        <w:rPr>
          <w:iCs/>
        </w:rPr>
        <w:t xml:space="preserve">prevention strategies. </w:t>
      </w:r>
    </w:p>
  </w:footnote>
  <w:footnote w:id="4">
    <w:p w14:paraId="11392695" w14:textId="4AF04F28" w:rsidR="00D512A2" w:rsidRPr="00D75DC1" w:rsidRDefault="00D512A2">
      <w:pPr>
        <w:pStyle w:val="FootnoteText"/>
      </w:pPr>
      <w:r>
        <w:rPr>
          <w:rStyle w:val="FootnoteReference"/>
        </w:rPr>
        <w:footnoteRef/>
      </w:r>
      <w:r>
        <w:t xml:space="preserve"> </w:t>
      </w:r>
      <w:r w:rsidR="007D0AA3" w:rsidRPr="007D0AA3">
        <w:t xml:space="preserve">WHO. Consolidated guidelines on HIV, viral hepatitis and STI prevention, diagnosis, treatment and care for key populations [Internet]. Geneva: WHO; 2022 [cited 2022 Nov 15]. Available from: </w:t>
      </w:r>
      <w:hyperlink r:id="rId2" w:history="1">
        <w:r w:rsidR="007D0AA3" w:rsidRPr="007D0AA3">
          <w:rPr>
            <w:rStyle w:val="Hyperlink"/>
          </w:rPr>
          <w:t>https://www.who.int/publications/i/item/9789240052390</w:t>
        </w:r>
      </w:hyperlink>
      <w:r w:rsidR="00090464">
        <w:t>.</w:t>
      </w:r>
    </w:p>
  </w:footnote>
  <w:footnote w:id="5">
    <w:p w14:paraId="31F2F873" w14:textId="27745F46" w:rsidR="004137BC" w:rsidRPr="007931C9" w:rsidRDefault="004137BC">
      <w:pPr>
        <w:pStyle w:val="FootnoteText"/>
      </w:pPr>
      <w:r>
        <w:rPr>
          <w:rStyle w:val="FootnoteReference"/>
        </w:rPr>
        <w:footnoteRef/>
      </w:r>
      <w:r w:rsidRPr="00D563EE">
        <w:rPr>
          <w:lang w:val="fr-FR"/>
        </w:rPr>
        <w:t xml:space="preserve"> </w:t>
      </w:r>
      <w:r w:rsidR="00C76D5C" w:rsidRPr="00D563EE">
        <w:rPr>
          <w:lang w:val="fr-FR"/>
        </w:rPr>
        <w:t xml:space="preserve">Fonner VA, </w:t>
      </w:r>
      <w:proofErr w:type="spellStart"/>
      <w:r w:rsidR="00C76D5C" w:rsidRPr="00D563EE">
        <w:rPr>
          <w:lang w:val="fr-FR"/>
        </w:rPr>
        <w:t>Dalglish</w:t>
      </w:r>
      <w:proofErr w:type="spellEnd"/>
      <w:r w:rsidR="00C76D5C" w:rsidRPr="00D563EE">
        <w:rPr>
          <w:lang w:val="fr-FR"/>
        </w:rPr>
        <w:t xml:space="preserve"> SL, Kennedy CE, Baggaley R, </w:t>
      </w:r>
      <w:proofErr w:type="spellStart"/>
      <w:r w:rsidR="00C76D5C" w:rsidRPr="00D563EE">
        <w:rPr>
          <w:lang w:val="fr-FR"/>
        </w:rPr>
        <w:t>O’Reilly</w:t>
      </w:r>
      <w:proofErr w:type="spellEnd"/>
      <w:r w:rsidR="00C76D5C" w:rsidRPr="00D563EE">
        <w:rPr>
          <w:lang w:val="fr-FR"/>
        </w:rPr>
        <w:t xml:space="preserve"> KR, Koechlin FM</w:t>
      </w:r>
      <w:r w:rsidR="00A8200F" w:rsidRPr="00D563EE">
        <w:rPr>
          <w:lang w:val="fr-FR"/>
        </w:rPr>
        <w:t>,</w:t>
      </w:r>
      <w:r w:rsidR="00C76D5C" w:rsidRPr="00D563EE">
        <w:rPr>
          <w:lang w:val="fr-FR"/>
        </w:rPr>
        <w:t xml:space="preserve"> et al. </w:t>
      </w:r>
      <w:r w:rsidR="00C76D5C" w:rsidRPr="00C76D5C">
        <w:t>Effectiveness and safety of oral HIV preexposure prophylaxis for all populations. AIDS. 2016</w:t>
      </w:r>
      <w:r w:rsidR="0051133D">
        <w:t xml:space="preserve"> July </w:t>
      </w:r>
      <w:proofErr w:type="gramStart"/>
      <w:r w:rsidR="0051133D">
        <w:t>31</w:t>
      </w:r>
      <w:r w:rsidR="00C76D5C" w:rsidRPr="00C76D5C">
        <w:t>;30:1973</w:t>
      </w:r>
      <w:proofErr w:type="gramEnd"/>
      <w:r w:rsidR="00C76D5C" w:rsidRPr="00C76D5C">
        <w:t>–83.</w:t>
      </w:r>
    </w:p>
  </w:footnote>
  <w:footnote w:id="6">
    <w:p w14:paraId="6A5152C0" w14:textId="16F53A76" w:rsidR="0042343D" w:rsidRDefault="0042343D">
      <w:pPr>
        <w:pStyle w:val="FootnoteText"/>
      </w:pPr>
      <w:r>
        <w:rPr>
          <w:rStyle w:val="FootnoteReference"/>
        </w:rPr>
        <w:footnoteRef/>
      </w:r>
      <w:r>
        <w:t xml:space="preserve"> </w:t>
      </w:r>
      <w:r w:rsidR="00C8158B">
        <w:t xml:space="preserve">WHO. </w:t>
      </w:r>
      <w:r w:rsidR="00336785">
        <w:t>Implementation tool for pre-exposure prophylaxis of HIV infection: p</w:t>
      </w:r>
      <w:r w:rsidR="00355C0C">
        <w:t>rovider module for oral and long-acting PrEP [Internet]. Geneva: WHO; 2024</w:t>
      </w:r>
      <w:r w:rsidR="00E623C0">
        <w:t>. A</w:t>
      </w:r>
      <w:r w:rsidR="00C6480C">
        <w:t xml:space="preserve">vailable from: </w:t>
      </w:r>
      <w:hyperlink r:id="rId3" w:history="1">
        <w:r w:rsidR="00A83093" w:rsidRPr="00B45D6A">
          <w:rPr>
            <w:rStyle w:val="Hyperlink"/>
          </w:rPr>
          <w:t>https://www.who.int/publications/i/item/9789240097230</w:t>
        </w:r>
      </w:hyperlink>
      <w:r w:rsidR="00FF6457">
        <w:t>.</w:t>
      </w:r>
    </w:p>
  </w:footnote>
  <w:footnote w:id="7">
    <w:p w14:paraId="13B92831" w14:textId="77777777" w:rsidR="00B81FE8" w:rsidRPr="00203C5F" w:rsidRDefault="00B81FE8">
      <w:pPr>
        <w:pStyle w:val="FootnoteText"/>
        <w:rPr>
          <w:color w:val="FF0000"/>
        </w:rPr>
      </w:pPr>
      <w:r w:rsidRPr="00D75DC1">
        <w:rPr>
          <w:rStyle w:val="FootnoteReference"/>
        </w:rPr>
        <w:footnoteRef/>
      </w:r>
      <w:r w:rsidRPr="00D75DC1">
        <w:t xml:space="preserve"> </w:t>
      </w:r>
      <w:r w:rsidR="00F67DD6" w:rsidRPr="00AA3DD5">
        <w:t xml:space="preserve">Parenteral exposure </w:t>
      </w:r>
      <w:r w:rsidR="00F500FD" w:rsidRPr="00AA3DD5">
        <w:t xml:space="preserve">to HIV </w:t>
      </w:r>
      <w:r w:rsidR="00F034DE" w:rsidRPr="00AA3DD5">
        <w:t xml:space="preserve">means exposure </w:t>
      </w:r>
      <w:r w:rsidR="00783BF0" w:rsidRPr="00AA3DD5">
        <w:t>via subcutaneous, intramuscular</w:t>
      </w:r>
      <w:r w:rsidR="00C55D79" w:rsidRPr="00AA3DD5">
        <w:t>,</w:t>
      </w:r>
      <w:r w:rsidR="00783BF0" w:rsidRPr="00AA3DD5">
        <w:t xml:space="preserve"> or intravenous contact</w:t>
      </w:r>
      <w:r w:rsidR="00605C9B" w:rsidRPr="00AA3DD5">
        <w:t xml:space="preserve"> with </w:t>
      </w:r>
      <w:r w:rsidR="00842103">
        <w:t xml:space="preserve">the </w:t>
      </w:r>
      <w:r w:rsidR="00D756F6" w:rsidRPr="00AA3DD5">
        <w:t>blood or other body fluid of someon</w:t>
      </w:r>
      <w:r w:rsidR="00A12C92" w:rsidRPr="00AA3DD5">
        <w:t>e living with HIV</w:t>
      </w:r>
      <w:r w:rsidR="00D75DC1" w:rsidRPr="00AA3DD5">
        <w:t>. This can include injection</w:t>
      </w:r>
      <w:r w:rsidR="00842103">
        <w:t>-</w:t>
      </w:r>
      <w:r w:rsidR="00D75DC1" w:rsidRPr="00AA3DD5">
        <w:t xml:space="preserve">related exposures. </w:t>
      </w:r>
    </w:p>
  </w:footnote>
  <w:footnote w:id="8">
    <w:p w14:paraId="58DE7332" w14:textId="77777777" w:rsidR="00566A1A" w:rsidRDefault="00566A1A" w:rsidP="00566A1A">
      <w:pPr>
        <w:pStyle w:val="FootnoteText"/>
      </w:pPr>
      <w:r>
        <w:rPr>
          <w:rStyle w:val="FootnoteReference"/>
        </w:rPr>
        <w:footnoteRef/>
      </w:r>
      <w:r>
        <w:t xml:space="preserve"> </w:t>
      </w:r>
      <w:r w:rsidRPr="004655C6">
        <w:t>People assigned male at birth may include cisgender men, transgender women, and some nonbinary people. Cisgender denotes a person whose sense of personal identity and gender corresponds with their sex assigned at birth.</w:t>
      </w:r>
    </w:p>
  </w:footnote>
  <w:footnote w:id="9">
    <w:p w14:paraId="097E4CCB" w14:textId="4FDE27B6" w:rsidR="001D5712" w:rsidRDefault="001D5712">
      <w:pPr>
        <w:pStyle w:val="FootnoteText"/>
      </w:pPr>
      <w:r>
        <w:rPr>
          <w:rStyle w:val="FootnoteReference"/>
        </w:rPr>
        <w:footnoteRef/>
      </w:r>
      <w:r>
        <w:t xml:space="preserve"> </w:t>
      </w:r>
      <w:r w:rsidR="00B9472B" w:rsidRPr="00B9472B">
        <w:t xml:space="preserve">WHO. Appropriate medicines: options for pre-exposure prophylaxis [Internet]. Geneva: WHO; 2018 [cited 2022 Nov 15]. Available from: </w:t>
      </w:r>
      <w:hyperlink r:id="rId4" w:history="1">
        <w:r w:rsidR="00B9472B" w:rsidRPr="00320D28">
          <w:rPr>
            <w:rStyle w:val="Hyperlink"/>
          </w:rPr>
          <w:t>https://www.who.int/publications/i/item/WHO-CDS-HIV-18.22</w:t>
        </w:r>
      </w:hyperlink>
      <w:r w:rsidR="0070073B">
        <w:t>.</w:t>
      </w:r>
      <w:r w:rsidR="00B9472B" w:rsidRPr="00B9472B">
        <w:t xml:space="preserve"> </w:t>
      </w:r>
      <w:r w:rsidR="00B9472B">
        <w:t xml:space="preserve"> </w:t>
      </w:r>
    </w:p>
  </w:footnote>
  <w:footnote w:id="10">
    <w:p w14:paraId="57F7A09F" w14:textId="1FF9F99D" w:rsidR="00FC5986" w:rsidRDefault="00FC5986">
      <w:pPr>
        <w:pStyle w:val="FootnoteText"/>
      </w:pPr>
      <w:r>
        <w:rPr>
          <w:rStyle w:val="FootnoteReference"/>
        </w:rPr>
        <w:footnoteRef/>
      </w:r>
      <w:r>
        <w:t xml:space="preserve"> </w:t>
      </w:r>
      <w:r w:rsidR="007F3CB7" w:rsidRPr="007F3CB7">
        <w:t xml:space="preserve">Baeten JM, Donnell D, </w:t>
      </w:r>
      <w:proofErr w:type="spellStart"/>
      <w:r w:rsidR="007F3CB7" w:rsidRPr="007F3CB7">
        <w:t>Ndase</w:t>
      </w:r>
      <w:proofErr w:type="spellEnd"/>
      <w:r w:rsidR="007F3CB7" w:rsidRPr="007F3CB7">
        <w:t xml:space="preserve"> P, </w:t>
      </w:r>
      <w:r w:rsidR="00B575BE">
        <w:t>Mugo NR, Campbell JD</w:t>
      </w:r>
      <w:r w:rsidR="00E07075">
        <w:t xml:space="preserve">, </w:t>
      </w:r>
      <w:proofErr w:type="spellStart"/>
      <w:r w:rsidR="00E07075">
        <w:t>Wangisi</w:t>
      </w:r>
      <w:proofErr w:type="spellEnd"/>
      <w:r w:rsidR="00E07075">
        <w:t xml:space="preserve"> J,</w:t>
      </w:r>
      <w:r w:rsidR="00B575BE">
        <w:t xml:space="preserve"> </w:t>
      </w:r>
      <w:r w:rsidR="007F3CB7" w:rsidRPr="007F3CB7">
        <w:t>et al. Antiretroviral prophylaxis for HIV prevention in heterosexual men and women. N Engl J Med</w:t>
      </w:r>
      <w:r w:rsidR="006C6711">
        <w:t>.</w:t>
      </w:r>
      <w:r w:rsidR="007F3CB7" w:rsidRPr="007F3CB7">
        <w:t xml:space="preserve"> 2012</w:t>
      </w:r>
      <w:r w:rsidR="00F741A5">
        <w:t xml:space="preserve"> Aug </w:t>
      </w:r>
      <w:proofErr w:type="gramStart"/>
      <w:r w:rsidR="00F741A5">
        <w:t>12</w:t>
      </w:r>
      <w:r w:rsidR="007F3CB7" w:rsidRPr="007F3CB7">
        <w:t>;367:399</w:t>
      </w:r>
      <w:proofErr w:type="gramEnd"/>
      <w:r w:rsidR="007F3CB7" w:rsidRPr="007F3CB7">
        <w:t>–410</w:t>
      </w:r>
      <w:r w:rsidR="007F3CB7">
        <w:t>.</w:t>
      </w:r>
    </w:p>
  </w:footnote>
  <w:footnote w:id="11">
    <w:p w14:paraId="1320F81F" w14:textId="4980096C" w:rsidR="00E9179B" w:rsidRDefault="00E9179B">
      <w:pPr>
        <w:pStyle w:val="FootnoteText"/>
      </w:pPr>
      <w:r>
        <w:rPr>
          <w:rStyle w:val="FootnoteReference"/>
        </w:rPr>
        <w:footnoteRef/>
      </w:r>
      <w:r>
        <w:t xml:space="preserve"> </w:t>
      </w:r>
      <w:r w:rsidR="009F3FE2" w:rsidRPr="009F3FE2">
        <w:t>Hanscom B, Janes HE, Guarino PD,</w:t>
      </w:r>
      <w:r w:rsidR="00D8064D">
        <w:t xml:space="preserve"> </w:t>
      </w:r>
      <w:r w:rsidR="00CB552D">
        <w:t xml:space="preserve">Huang Y, </w:t>
      </w:r>
      <w:r w:rsidR="00D8064D">
        <w:t xml:space="preserve">Brown E, Chen </w:t>
      </w:r>
      <w:proofErr w:type="gramStart"/>
      <w:r w:rsidR="00D8064D">
        <w:t>Y</w:t>
      </w:r>
      <w:r w:rsidR="00251E08">
        <w:t xml:space="preserve">Q, </w:t>
      </w:r>
      <w:r w:rsidR="009F3FE2" w:rsidRPr="009F3FE2">
        <w:t xml:space="preserve"> et al.</w:t>
      </w:r>
      <w:proofErr w:type="gramEnd"/>
      <w:r w:rsidR="009F3FE2" w:rsidRPr="009F3FE2">
        <w:t xml:space="preserve"> Brief report: preventing HIV-1 infection in women using oral preexposure prophylaxis: a meta-analysis of current evidence. J </w:t>
      </w:r>
      <w:proofErr w:type="spellStart"/>
      <w:r w:rsidR="009F3FE2" w:rsidRPr="009F3FE2">
        <w:t>Acquir</w:t>
      </w:r>
      <w:proofErr w:type="spellEnd"/>
      <w:r w:rsidR="009F3FE2" w:rsidRPr="009F3FE2">
        <w:t xml:space="preserve"> Immune </w:t>
      </w:r>
      <w:proofErr w:type="spellStart"/>
      <w:r w:rsidR="009F3FE2" w:rsidRPr="009F3FE2">
        <w:t>Defic</w:t>
      </w:r>
      <w:proofErr w:type="spellEnd"/>
      <w:r w:rsidR="009F3FE2" w:rsidRPr="009F3FE2">
        <w:t xml:space="preserve"> Syndr</w:t>
      </w:r>
      <w:r w:rsidR="00907DCE">
        <w:t>.</w:t>
      </w:r>
      <w:r w:rsidR="009F3FE2" w:rsidRPr="009F3FE2">
        <w:t xml:space="preserve"> 2016</w:t>
      </w:r>
      <w:r w:rsidR="006C6314">
        <w:t xml:space="preserve"> Dec </w:t>
      </w:r>
      <w:proofErr w:type="gramStart"/>
      <w:r w:rsidR="006C6314">
        <w:t>15</w:t>
      </w:r>
      <w:r w:rsidR="009F3FE2" w:rsidRPr="009F3FE2">
        <w:t>;73:606</w:t>
      </w:r>
      <w:proofErr w:type="gramEnd"/>
      <w:r w:rsidR="009F3FE2" w:rsidRPr="009F3FE2">
        <w:t>–08</w:t>
      </w:r>
      <w:r w:rsidR="009F3FE2">
        <w:t>.</w:t>
      </w:r>
    </w:p>
  </w:footnote>
  <w:footnote w:id="12">
    <w:p w14:paraId="3D5368AE" w14:textId="18A63FB8" w:rsidR="009F3FE2" w:rsidRDefault="009F3FE2">
      <w:pPr>
        <w:pStyle w:val="FootnoteText"/>
      </w:pPr>
      <w:r>
        <w:rPr>
          <w:rStyle w:val="FootnoteReference"/>
        </w:rPr>
        <w:footnoteRef/>
      </w:r>
      <w:r>
        <w:t xml:space="preserve"> </w:t>
      </w:r>
      <w:r w:rsidR="00F14C2A" w:rsidRPr="00F14C2A">
        <w:t xml:space="preserve">Grant RM, Lama JR, Anderson PL, </w:t>
      </w:r>
      <w:r w:rsidR="000E52E9">
        <w:t>McMahan V, Liu AY</w:t>
      </w:r>
      <w:r w:rsidR="000545A0">
        <w:t>, Vargas L</w:t>
      </w:r>
      <w:r w:rsidR="00793215">
        <w:t>,</w:t>
      </w:r>
      <w:r w:rsidR="000E52E9">
        <w:t xml:space="preserve"> </w:t>
      </w:r>
      <w:r w:rsidR="00F14C2A" w:rsidRPr="00F14C2A">
        <w:t>et al. Preexposure chemoprophylaxis for HIV prevention in men who have sex with men. N Engl J Med</w:t>
      </w:r>
      <w:r w:rsidR="00797438">
        <w:t>.</w:t>
      </w:r>
      <w:r w:rsidR="00F14C2A" w:rsidRPr="00F14C2A">
        <w:t xml:space="preserve"> 2010</w:t>
      </w:r>
      <w:r w:rsidR="00CC3CF5">
        <w:t xml:space="preserve"> Dec </w:t>
      </w:r>
      <w:proofErr w:type="gramStart"/>
      <w:r w:rsidR="00CC3CF5">
        <w:t>30</w:t>
      </w:r>
      <w:r w:rsidR="00F14C2A" w:rsidRPr="00F14C2A">
        <w:t>;363:2587</w:t>
      </w:r>
      <w:proofErr w:type="gramEnd"/>
      <w:r w:rsidR="00F14C2A" w:rsidRPr="00F14C2A">
        <w:t>–99.</w:t>
      </w:r>
    </w:p>
  </w:footnote>
  <w:footnote w:id="13">
    <w:p w14:paraId="30CC299B" w14:textId="77777777" w:rsidR="00E056B8" w:rsidRDefault="00E056B8" w:rsidP="00E056B8">
      <w:pPr>
        <w:pStyle w:val="FootnoteText"/>
      </w:pPr>
      <w:r>
        <w:rPr>
          <w:rStyle w:val="FootnoteReference"/>
        </w:rPr>
        <w:footnoteRef/>
      </w:r>
      <w:r>
        <w:t xml:space="preserve"> </w:t>
      </w:r>
      <w:r w:rsidRPr="00E761B7">
        <w:t xml:space="preserve">Molina JM, </w:t>
      </w:r>
      <w:proofErr w:type="spellStart"/>
      <w:r w:rsidRPr="00E761B7">
        <w:t>Charreau</w:t>
      </w:r>
      <w:proofErr w:type="spellEnd"/>
      <w:r w:rsidRPr="00E761B7">
        <w:t xml:space="preserve"> I, Spire B, Cotte L, Chas J, </w:t>
      </w:r>
      <w:proofErr w:type="spellStart"/>
      <w:r w:rsidRPr="00E761B7">
        <w:t>Capitant</w:t>
      </w:r>
      <w:proofErr w:type="spellEnd"/>
      <w:r w:rsidRPr="00E761B7">
        <w:t xml:space="preserve"> C, et al. Efficacy, safety and effect on sexual </w:t>
      </w:r>
      <w:proofErr w:type="spellStart"/>
      <w:r w:rsidRPr="00E761B7">
        <w:t>behaviour</w:t>
      </w:r>
      <w:proofErr w:type="spellEnd"/>
      <w:r w:rsidRPr="00E761B7">
        <w:t xml:space="preserve"> of on-demand pre-exposure prophylaxis for HIV in men who have sex with men: an observational cohort study. Lancet HIV. 2017</w:t>
      </w:r>
      <w:r>
        <w:t xml:space="preserve"> Sep</w:t>
      </w:r>
      <w:r w:rsidRPr="00E761B7">
        <w:t>;4(9</w:t>
      </w:r>
      <w:proofErr w:type="gramStart"/>
      <w:r w:rsidRPr="00E761B7">
        <w:t>):e</w:t>
      </w:r>
      <w:proofErr w:type="gramEnd"/>
      <w:r w:rsidRPr="00E761B7">
        <w:t>402</w:t>
      </w:r>
      <w:r>
        <w:rPr>
          <w:rFonts w:cstheme="minorHAnsi"/>
        </w:rPr>
        <w:t>–</w:t>
      </w:r>
      <w:r w:rsidRPr="00E761B7">
        <w:t xml:space="preserve">e410. </w:t>
      </w:r>
    </w:p>
  </w:footnote>
  <w:footnote w:id="14">
    <w:p w14:paraId="2364DB07" w14:textId="77777777" w:rsidR="00E056B8" w:rsidRDefault="00E056B8" w:rsidP="00E056B8">
      <w:pPr>
        <w:pStyle w:val="FootnoteText"/>
      </w:pPr>
      <w:r>
        <w:rPr>
          <w:rStyle w:val="FootnoteReference"/>
        </w:rPr>
        <w:footnoteRef/>
      </w:r>
      <w:r>
        <w:t xml:space="preserve"> </w:t>
      </w:r>
      <w:r w:rsidRPr="00DE429B">
        <w:t xml:space="preserve">Molina JM, </w:t>
      </w:r>
      <w:proofErr w:type="spellStart"/>
      <w:r w:rsidRPr="00DE429B">
        <w:t>Capitant</w:t>
      </w:r>
      <w:proofErr w:type="spellEnd"/>
      <w:r w:rsidRPr="00DE429B">
        <w:t xml:space="preserve"> C, Spire B, </w:t>
      </w:r>
      <w:proofErr w:type="spellStart"/>
      <w:r w:rsidRPr="00DE429B">
        <w:t>Pialoux</w:t>
      </w:r>
      <w:proofErr w:type="spellEnd"/>
      <w:r w:rsidRPr="00DE429B">
        <w:t xml:space="preserve"> G, Cotte L, </w:t>
      </w:r>
      <w:proofErr w:type="spellStart"/>
      <w:r w:rsidRPr="00DE429B">
        <w:t>Charreau</w:t>
      </w:r>
      <w:proofErr w:type="spellEnd"/>
      <w:r w:rsidRPr="00DE429B">
        <w:t xml:space="preserve"> I, et al. On-demand pre-exposure prophylaxis in men at high risk for HIV-1 infection. N Engl J Med. 2015</w:t>
      </w:r>
      <w:r>
        <w:t xml:space="preserve"> Dec 3</w:t>
      </w:r>
      <w:r w:rsidRPr="00DE429B">
        <w:t>;373(23):2237</w:t>
      </w:r>
      <w:r>
        <w:rPr>
          <w:rFonts w:cstheme="minorHAnsi"/>
        </w:rPr>
        <w:t>–</w:t>
      </w:r>
      <w:r w:rsidRPr="00DE429B">
        <w:t>46.</w:t>
      </w:r>
    </w:p>
  </w:footnote>
  <w:footnote w:id="15">
    <w:p w14:paraId="377F0FA5" w14:textId="77777777" w:rsidR="00E056B8" w:rsidRDefault="00E056B8" w:rsidP="00E056B8">
      <w:pPr>
        <w:pStyle w:val="FootnoteText"/>
      </w:pPr>
      <w:r w:rsidRPr="52CA022F">
        <w:rPr>
          <w:rStyle w:val="FootnoteReference"/>
        </w:rPr>
        <w:footnoteRef/>
      </w:r>
      <w:r>
        <w:t xml:space="preserve"> People assigned female at birth may include cisgender women, transgender men, and some nonbinary people.</w:t>
      </w:r>
    </w:p>
  </w:footnote>
  <w:footnote w:id="16">
    <w:p w14:paraId="303F5633" w14:textId="470DAB8E" w:rsidR="00ED4547" w:rsidRPr="0093051B" w:rsidRDefault="00ED4547">
      <w:pPr>
        <w:pStyle w:val="FootnoteText"/>
        <w:rPr>
          <w:lang w:val="fr-FR"/>
        </w:rPr>
      </w:pPr>
      <w:r>
        <w:rPr>
          <w:rStyle w:val="FootnoteReference"/>
        </w:rPr>
        <w:footnoteRef/>
      </w:r>
      <w:r w:rsidRPr="00B05C93">
        <w:rPr>
          <w:lang w:val="fr-FR"/>
        </w:rPr>
        <w:t xml:space="preserve"> </w:t>
      </w:r>
      <w:r w:rsidR="00F22C9E" w:rsidRPr="00B05C93">
        <w:rPr>
          <w:lang w:val="fr-FR"/>
        </w:rPr>
        <w:t xml:space="preserve">Bunge K, </w:t>
      </w:r>
      <w:proofErr w:type="spellStart"/>
      <w:r w:rsidR="000F072D" w:rsidRPr="00B05C93">
        <w:rPr>
          <w:lang w:val="fr-FR"/>
        </w:rPr>
        <w:t>Balkus</w:t>
      </w:r>
      <w:proofErr w:type="spellEnd"/>
      <w:r w:rsidR="000F072D" w:rsidRPr="00B05C93">
        <w:rPr>
          <w:lang w:val="fr-FR"/>
        </w:rPr>
        <w:t xml:space="preserve"> JE, </w:t>
      </w:r>
      <w:proofErr w:type="spellStart"/>
      <w:r w:rsidR="000F072D" w:rsidRPr="00B05C93">
        <w:rPr>
          <w:lang w:val="fr-FR"/>
        </w:rPr>
        <w:t>Fairlie</w:t>
      </w:r>
      <w:proofErr w:type="spellEnd"/>
      <w:r w:rsidR="000F072D" w:rsidRPr="00B05C93">
        <w:rPr>
          <w:lang w:val="fr-FR"/>
        </w:rPr>
        <w:t xml:space="preserve"> L, Mayo AJ, </w:t>
      </w:r>
      <w:proofErr w:type="spellStart"/>
      <w:r w:rsidR="000F072D" w:rsidRPr="00B05C93">
        <w:rPr>
          <w:lang w:val="fr-FR"/>
        </w:rPr>
        <w:t>Nakabiito</w:t>
      </w:r>
      <w:proofErr w:type="spellEnd"/>
      <w:r w:rsidR="000F072D" w:rsidRPr="00B05C93">
        <w:rPr>
          <w:lang w:val="fr-FR"/>
        </w:rPr>
        <w:t xml:space="preserve"> C, </w:t>
      </w:r>
      <w:proofErr w:type="spellStart"/>
      <w:r w:rsidR="000F072D" w:rsidRPr="00B05C93">
        <w:rPr>
          <w:lang w:val="fr-FR"/>
        </w:rPr>
        <w:t>Mgodi</w:t>
      </w:r>
      <w:proofErr w:type="spellEnd"/>
      <w:r w:rsidR="000F072D" w:rsidRPr="00B05C93">
        <w:rPr>
          <w:lang w:val="fr-FR"/>
        </w:rPr>
        <w:t xml:space="preserve"> N, et al. </w:t>
      </w:r>
      <w:r w:rsidR="000F072D">
        <w:t>DELIVER</w:t>
      </w:r>
      <w:r w:rsidR="00E1238E">
        <w:t xml:space="preserve">: A safety study of a dapivirine vaginal ring and oral PrEP for the prevention of HIV during pregnancy. </w:t>
      </w:r>
      <w:r w:rsidR="00D43CB1" w:rsidRPr="00B05C93">
        <w:rPr>
          <w:lang w:val="fr-FR"/>
        </w:rPr>
        <w:t xml:space="preserve">J </w:t>
      </w:r>
      <w:proofErr w:type="spellStart"/>
      <w:r w:rsidR="00683CA7" w:rsidRPr="00B05C93">
        <w:rPr>
          <w:lang w:val="fr-FR"/>
        </w:rPr>
        <w:t>Acquir</w:t>
      </w:r>
      <w:proofErr w:type="spellEnd"/>
      <w:r w:rsidR="00683CA7" w:rsidRPr="00B05C93">
        <w:rPr>
          <w:lang w:val="fr-FR"/>
        </w:rPr>
        <w:t xml:space="preserve"> Immune </w:t>
      </w:r>
      <w:proofErr w:type="spellStart"/>
      <w:r w:rsidR="00683CA7" w:rsidRPr="00B05C93">
        <w:rPr>
          <w:lang w:val="fr-FR"/>
        </w:rPr>
        <w:t>Defic</w:t>
      </w:r>
      <w:proofErr w:type="spellEnd"/>
      <w:r w:rsidR="00683CA7" w:rsidRPr="00B05C93">
        <w:rPr>
          <w:lang w:val="fr-FR"/>
        </w:rPr>
        <w:t xml:space="preserve"> </w:t>
      </w:r>
      <w:proofErr w:type="spellStart"/>
      <w:r w:rsidR="00683CA7" w:rsidRPr="00B05C93">
        <w:rPr>
          <w:lang w:val="fr-FR"/>
        </w:rPr>
        <w:t>Syndr</w:t>
      </w:r>
      <w:proofErr w:type="spellEnd"/>
      <w:r w:rsidR="00AD7113" w:rsidRPr="00B05C93">
        <w:rPr>
          <w:lang w:val="fr-FR"/>
        </w:rPr>
        <w:t xml:space="preserve">. </w:t>
      </w:r>
      <w:r w:rsidR="008C365E">
        <w:rPr>
          <w:lang w:val="fr-FR"/>
        </w:rPr>
        <w:t xml:space="preserve">2024 Jan </w:t>
      </w:r>
      <w:proofErr w:type="gramStart"/>
      <w:r w:rsidR="001C0E6E">
        <w:rPr>
          <w:lang w:val="fr-FR"/>
        </w:rPr>
        <w:t>1;</w:t>
      </w:r>
      <w:proofErr w:type="gramEnd"/>
      <w:r w:rsidR="00B25F84">
        <w:rPr>
          <w:lang w:val="fr-FR"/>
        </w:rPr>
        <w:t>95(1) :65</w:t>
      </w:r>
      <w:r w:rsidR="00020AB8">
        <w:rPr>
          <w:rFonts w:cstheme="minorHAnsi"/>
        </w:rPr>
        <w:t>–</w:t>
      </w:r>
      <w:r w:rsidR="00B25F84">
        <w:rPr>
          <w:lang w:val="fr-FR"/>
        </w:rPr>
        <w:t>73.</w:t>
      </w:r>
      <w:r w:rsidR="004F4C60" w:rsidRPr="0093051B">
        <w:rPr>
          <w:lang w:val="fr-FR"/>
        </w:rPr>
        <w:t xml:space="preserve"> </w:t>
      </w:r>
    </w:p>
  </w:footnote>
  <w:footnote w:id="17">
    <w:p w14:paraId="419FEF6C" w14:textId="32972E9F" w:rsidR="00F77BE8" w:rsidRDefault="00F77BE8">
      <w:pPr>
        <w:pStyle w:val="FootnoteText"/>
      </w:pPr>
      <w:r>
        <w:rPr>
          <w:rStyle w:val="FootnoteReference"/>
        </w:rPr>
        <w:footnoteRef/>
      </w:r>
      <w:r w:rsidRPr="00B05C93">
        <w:rPr>
          <w:lang w:val="fr-FR"/>
        </w:rPr>
        <w:t xml:space="preserve"> </w:t>
      </w:r>
      <w:proofErr w:type="spellStart"/>
      <w:r w:rsidRPr="00B05C93">
        <w:rPr>
          <w:lang w:val="fr-FR"/>
        </w:rPr>
        <w:t>Makanani</w:t>
      </w:r>
      <w:proofErr w:type="spellEnd"/>
      <w:r w:rsidRPr="00B05C93">
        <w:rPr>
          <w:lang w:val="fr-FR"/>
        </w:rPr>
        <w:t xml:space="preserve"> B, </w:t>
      </w:r>
      <w:proofErr w:type="spellStart"/>
      <w:r w:rsidRPr="00B05C93">
        <w:rPr>
          <w:lang w:val="fr-FR"/>
        </w:rPr>
        <w:t>Balkus</w:t>
      </w:r>
      <w:proofErr w:type="spellEnd"/>
      <w:r w:rsidRPr="00B05C93">
        <w:rPr>
          <w:lang w:val="fr-FR"/>
        </w:rPr>
        <w:t xml:space="preserve"> JE, </w:t>
      </w:r>
      <w:proofErr w:type="spellStart"/>
      <w:r w:rsidR="00CF1C7A" w:rsidRPr="00B05C93">
        <w:rPr>
          <w:lang w:val="fr-FR"/>
        </w:rPr>
        <w:t>Jiao</w:t>
      </w:r>
      <w:proofErr w:type="spellEnd"/>
      <w:r w:rsidR="00CF1C7A" w:rsidRPr="00B05C93">
        <w:rPr>
          <w:lang w:val="fr-FR"/>
        </w:rPr>
        <w:t xml:space="preserve"> Y, Noguchi LM</w:t>
      </w:r>
      <w:r w:rsidR="00190C02" w:rsidRPr="00B05C93">
        <w:rPr>
          <w:lang w:val="fr-FR"/>
        </w:rPr>
        <w:t xml:space="preserve">, Palanee-Phillips T, </w:t>
      </w:r>
      <w:proofErr w:type="spellStart"/>
      <w:r w:rsidR="00113F21" w:rsidRPr="00B05C93">
        <w:rPr>
          <w:lang w:val="fr-FR"/>
        </w:rPr>
        <w:t>Mbilizi</w:t>
      </w:r>
      <w:proofErr w:type="spellEnd"/>
      <w:r w:rsidR="00113F21" w:rsidRPr="00B05C93">
        <w:rPr>
          <w:lang w:val="fr-FR"/>
        </w:rPr>
        <w:t xml:space="preserve"> Y, et al. </w:t>
      </w:r>
      <w:r w:rsidR="00113F21">
        <w:t>Pregna</w:t>
      </w:r>
      <w:r w:rsidR="00B72EAA">
        <w:t>n</w:t>
      </w:r>
      <w:r w:rsidR="00113F21">
        <w:t>cy and infant outcomes</w:t>
      </w:r>
      <w:r w:rsidR="00A0541D">
        <w:t xml:space="preserve"> </w:t>
      </w:r>
      <w:r w:rsidR="00113F21">
        <w:t xml:space="preserve">among women using the dapivirine vaginal ring in early pregnancy. </w:t>
      </w:r>
      <w:r w:rsidR="00786488">
        <w:t xml:space="preserve">J </w:t>
      </w:r>
      <w:proofErr w:type="spellStart"/>
      <w:r w:rsidR="00786488">
        <w:t>Acquir</w:t>
      </w:r>
      <w:proofErr w:type="spellEnd"/>
      <w:r w:rsidR="00786488">
        <w:t xml:space="preserve"> Immune </w:t>
      </w:r>
      <w:proofErr w:type="spellStart"/>
      <w:r w:rsidR="00786488">
        <w:t>Defic</w:t>
      </w:r>
      <w:proofErr w:type="spellEnd"/>
      <w:r w:rsidR="00786488">
        <w:t xml:space="preserve"> Syndr.</w:t>
      </w:r>
      <w:r w:rsidR="00DF2041">
        <w:t xml:space="preserve"> 2018</w:t>
      </w:r>
      <w:r w:rsidR="00250169">
        <w:t xml:space="preserve"> Dec 15</w:t>
      </w:r>
      <w:r w:rsidR="00A10713">
        <w:t>;79(</w:t>
      </w:r>
      <w:r w:rsidR="000D3FFA">
        <w:t>5):566</w:t>
      </w:r>
      <w:r w:rsidR="00A0541D">
        <w:rPr>
          <w:rFonts w:cstheme="minorHAnsi"/>
        </w:rPr>
        <w:t>–</w:t>
      </w:r>
      <w:r w:rsidR="000D3FFA">
        <w:t>72.</w:t>
      </w:r>
    </w:p>
  </w:footnote>
  <w:footnote w:id="18">
    <w:p w14:paraId="517ED67D" w14:textId="3CE73E13" w:rsidR="00480DE8" w:rsidRDefault="00480DE8">
      <w:pPr>
        <w:pStyle w:val="FootnoteText"/>
      </w:pPr>
      <w:r>
        <w:rPr>
          <w:rStyle w:val="FootnoteReference"/>
        </w:rPr>
        <w:footnoteRef/>
      </w:r>
      <w:r>
        <w:t xml:space="preserve"> </w:t>
      </w:r>
      <w:r w:rsidRPr="00480DE8">
        <w:t xml:space="preserve">Mhlanga F, Bunge KE, Fairlie L, </w:t>
      </w:r>
      <w:proofErr w:type="spellStart"/>
      <w:r w:rsidRPr="00480DE8">
        <w:t>Nakabiito</w:t>
      </w:r>
      <w:proofErr w:type="spellEnd"/>
      <w:r w:rsidRPr="00480DE8">
        <w:t xml:space="preserve"> C, </w:t>
      </w:r>
      <w:proofErr w:type="spellStart"/>
      <w:r w:rsidRPr="00480DE8">
        <w:t>Gadama</w:t>
      </w:r>
      <w:proofErr w:type="spellEnd"/>
      <w:r w:rsidRPr="00480DE8">
        <w:t xml:space="preserve"> L, </w:t>
      </w:r>
      <w:proofErr w:type="spellStart"/>
      <w:r w:rsidRPr="00480DE8">
        <w:t>Mgodi</w:t>
      </w:r>
      <w:proofErr w:type="spellEnd"/>
      <w:r w:rsidRPr="00480DE8">
        <w:t xml:space="preserve"> N, et al. Safety of dapivirine vaginal ring and oral PrEP for HIV prevention in the second trimester</w:t>
      </w:r>
      <w:r w:rsidR="00FB5FF3">
        <w:t xml:space="preserve"> [abstract]</w:t>
      </w:r>
      <w:r w:rsidRPr="00480DE8">
        <w:t xml:space="preserve">. </w:t>
      </w:r>
      <w:r w:rsidR="00767925">
        <w:t>31</w:t>
      </w:r>
      <w:r w:rsidR="00767925" w:rsidRPr="00B05C93">
        <w:rPr>
          <w:vertAlign w:val="superscript"/>
        </w:rPr>
        <w:t>st</w:t>
      </w:r>
      <w:r w:rsidRPr="00480DE8">
        <w:t xml:space="preserve"> Conference on Retroviruses and Opportunistic Infections</w:t>
      </w:r>
      <w:r w:rsidR="00061909">
        <w:t>;</w:t>
      </w:r>
      <w:r w:rsidRPr="00480DE8">
        <w:t xml:space="preserve"> 2024 Mar 3</w:t>
      </w:r>
      <w:r w:rsidR="00401CA2">
        <w:rPr>
          <w:rFonts w:cstheme="minorHAnsi"/>
        </w:rPr>
        <w:t>–</w:t>
      </w:r>
      <w:r w:rsidRPr="00480DE8">
        <w:t>6; Denver</w:t>
      </w:r>
      <w:r w:rsidR="00061909">
        <w:t>, Colorado</w:t>
      </w:r>
      <w:r w:rsidRPr="00480DE8">
        <w:t>.</w:t>
      </w:r>
    </w:p>
  </w:footnote>
  <w:footnote w:id="19">
    <w:p w14:paraId="6D3E9BC0" w14:textId="49369B66" w:rsidR="002F128A" w:rsidRDefault="002F128A">
      <w:pPr>
        <w:pStyle w:val="FootnoteText"/>
      </w:pPr>
      <w:r>
        <w:rPr>
          <w:rStyle w:val="FootnoteReference"/>
        </w:rPr>
        <w:footnoteRef/>
      </w:r>
      <w:r w:rsidRPr="00B05C93">
        <w:rPr>
          <w:lang w:val="fr-FR"/>
        </w:rPr>
        <w:t xml:space="preserve"> </w:t>
      </w:r>
      <w:proofErr w:type="spellStart"/>
      <w:r w:rsidR="00AD6815" w:rsidRPr="00B05C93">
        <w:rPr>
          <w:lang w:val="fr-FR"/>
        </w:rPr>
        <w:t>Owor</w:t>
      </w:r>
      <w:proofErr w:type="spellEnd"/>
      <w:r w:rsidR="00AD6815" w:rsidRPr="00B05C93">
        <w:rPr>
          <w:lang w:val="fr-FR"/>
        </w:rPr>
        <w:t xml:space="preserve"> M, Noguchi L, Horne E, </w:t>
      </w:r>
      <w:proofErr w:type="spellStart"/>
      <w:r w:rsidR="00AD6815" w:rsidRPr="00B05C93">
        <w:rPr>
          <w:lang w:val="fr-FR"/>
        </w:rPr>
        <w:t>Matimbira</w:t>
      </w:r>
      <w:proofErr w:type="spellEnd"/>
      <w:r w:rsidR="00AD6815" w:rsidRPr="00B05C93">
        <w:rPr>
          <w:lang w:val="fr-FR"/>
        </w:rPr>
        <w:t xml:space="preserve"> M, </w:t>
      </w:r>
      <w:proofErr w:type="spellStart"/>
      <w:r w:rsidR="00AD6815" w:rsidRPr="00B05C93">
        <w:rPr>
          <w:lang w:val="fr-FR"/>
        </w:rPr>
        <w:t>Ssemambo</w:t>
      </w:r>
      <w:proofErr w:type="spellEnd"/>
      <w:r w:rsidR="00AD6815" w:rsidRPr="00B05C93">
        <w:rPr>
          <w:lang w:val="fr-FR"/>
        </w:rPr>
        <w:t xml:space="preserve"> PK, </w:t>
      </w:r>
      <w:proofErr w:type="spellStart"/>
      <w:r w:rsidR="00AD6815" w:rsidRPr="00B05C93">
        <w:rPr>
          <w:lang w:val="fr-FR"/>
        </w:rPr>
        <w:t>Madhlopa-Mandiwa</w:t>
      </w:r>
      <w:proofErr w:type="spellEnd"/>
      <w:r w:rsidR="00AD6815" w:rsidRPr="00B05C93">
        <w:rPr>
          <w:lang w:val="fr-FR"/>
        </w:rPr>
        <w:t xml:space="preserve"> V, et al. </w:t>
      </w:r>
      <w:r w:rsidR="004831F8">
        <w:t xml:space="preserve">Dapivirine ring safety and drug detection in breastfeeding mother-infant pairs </w:t>
      </w:r>
      <w:r w:rsidR="00DB4A86">
        <w:t>[abstract]. 30</w:t>
      </w:r>
      <w:r w:rsidR="00DB4A86" w:rsidRPr="00873942">
        <w:rPr>
          <w:vertAlign w:val="superscript"/>
        </w:rPr>
        <w:t>th</w:t>
      </w:r>
      <w:r w:rsidR="00DB4A86">
        <w:t xml:space="preserve"> Conference on Retroviruses and Opportunistic Infections (CROI). 2023 Feb 19</w:t>
      </w:r>
      <w:r w:rsidR="00401CA2">
        <w:rPr>
          <w:rFonts w:cstheme="minorHAnsi"/>
        </w:rPr>
        <w:t>–</w:t>
      </w:r>
      <w:r w:rsidR="00DB4A86">
        <w:t>22; Virtual. Available from:</w:t>
      </w:r>
      <w:r w:rsidR="00FF22B5">
        <w:t xml:space="preserve"> </w:t>
      </w:r>
      <w:hyperlink r:id="rId5" w:history="1">
        <w:r w:rsidR="007B50F7" w:rsidRPr="00427B17">
          <w:rPr>
            <w:rStyle w:val="Hyperlink"/>
          </w:rPr>
          <w:t>https://www.croiconference.org/wp-content/uploads/sites/2/posters/2023/CROI_2023_MTN043_poster_2023-02-10-133209613532694120.pdf</w:t>
        </w:r>
      </w:hyperlink>
      <w:r w:rsidR="00212A53">
        <w:t>.</w:t>
      </w:r>
      <w:r w:rsidR="007B50F7">
        <w:t xml:space="preserve"> </w:t>
      </w:r>
    </w:p>
  </w:footnote>
  <w:footnote w:id="20">
    <w:p w14:paraId="553E2EE1" w14:textId="11EA6FD1" w:rsidR="00A00D94" w:rsidRDefault="00A00D94">
      <w:pPr>
        <w:pStyle w:val="FootnoteText"/>
      </w:pPr>
      <w:r w:rsidRPr="00013FAD">
        <w:rPr>
          <w:rStyle w:val="FootnoteReference"/>
        </w:rPr>
        <w:footnoteRef/>
      </w:r>
      <w:r w:rsidRPr="00013FAD">
        <w:t xml:space="preserve"> </w:t>
      </w:r>
      <w:r w:rsidR="00E5205C" w:rsidRPr="00013FAD">
        <w:t>Noguchi</w:t>
      </w:r>
      <w:r w:rsidR="00E5205C">
        <w:t xml:space="preserve"> LM, Hoesley C, </w:t>
      </w:r>
      <w:r w:rsidR="00302A63">
        <w:t>Kelly C, Scheckter R, Bunge K</w:t>
      </w:r>
      <w:r w:rsidR="009C3DF5">
        <w:t>, Nel A, et al. Pharma</w:t>
      </w:r>
      <w:r w:rsidR="00727DF2">
        <w:t>cokinetics of dapivirine transfer into blood plasma, breast milk, and cervi</w:t>
      </w:r>
      <w:r w:rsidR="006F2F70">
        <w:t xml:space="preserve">covaginal fluid of lactating women using the dapivirine vaginal ring. </w:t>
      </w:r>
      <w:proofErr w:type="spellStart"/>
      <w:r w:rsidR="006F2F70">
        <w:t>Antimicrob</w:t>
      </w:r>
      <w:proofErr w:type="spellEnd"/>
      <w:r w:rsidR="006F2F70">
        <w:t xml:space="preserve"> Agents </w:t>
      </w:r>
      <w:proofErr w:type="spellStart"/>
      <w:r w:rsidR="006F2F70">
        <w:t>Chemother</w:t>
      </w:r>
      <w:proofErr w:type="spellEnd"/>
      <w:r w:rsidR="006F2F70">
        <w:t>. 2019</w:t>
      </w:r>
      <w:r w:rsidR="00DE5661">
        <w:t xml:space="preserve"> Feb 26</w:t>
      </w:r>
      <w:r w:rsidR="006F2F70">
        <w:t>;63(3</w:t>
      </w:r>
      <w:proofErr w:type="gramStart"/>
      <w:r w:rsidR="006F2F70">
        <w:t>):</w:t>
      </w:r>
      <w:r w:rsidR="00013FAD">
        <w:t>e</w:t>
      </w:r>
      <w:proofErr w:type="gramEnd"/>
      <w:r w:rsidR="00013FAD">
        <w:t>01930</w:t>
      </w:r>
      <w:r w:rsidR="004D34CD">
        <w:rPr>
          <w:rFonts w:cstheme="minorHAnsi"/>
        </w:rPr>
        <w:t>–</w:t>
      </w:r>
      <w:r w:rsidR="00013FAD">
        <w:t xml:space="preserve">18. </w:t>
      </w:r>
    </w:p>
  </w:footnote>
  <w:footnote w:id="21">
    <w:p w14:paraId="6A566A14" w14:textId="7AE7618D" w:rsidR="00BD7616" w:rsidRDefault="00BD7616" w:rsidP="00BD7616">
      <w:pPr>
        <w:pStyle w:val="FootnoteText"/>
      </w:pPr>
      <w:r>
        <w:rPr>
          <w:rStyle w:val="FootnoteReference"/>
        </w:rPr>
        <w:footnoteRef/>
      </w:r>
      <w:r w:rsidRPr="00197941">
        <w:t xml:space="preserve"> Noguchi L, Owor M, Mirembe B, Horne E, </w:t>
      </w:r>
      <w:proofErr w:type="spellStart"/>
      <w:r w:rsidRPr="00197941">
        <w:t>Mgodi</w:t>
      </w:r>
      <w:proofErr w:type="spellEnd"/>
      <w:r w:rsidRPr="00197941">
        <w:t xml:space="preserve"> N, Taulo F</w:t>
      </w:r>
      <w:r w:rsidR="00F720C2" w:rsidRPr="00197941">
        <w:t>,</w:t>
      </w:r>
      <w:r w:rsidRPr="00197941">
        <w:t xml:space="preserve"> et al. </w:t>
      </w:r>
      <w:r w:rsidRPr="001562D2">
        <w:t xml:space="preserve">Phase 3B, randomized, open-label, safety study of dapivirine vaginal ring and oral emtricitabine 200mg/tenofovir disoproxil fumarate 300mg tablet in breastfeeding mother-infant pairs. [poster] </w:t>
      </w:r>
      <w:r w:rsidR="009F3B5D">
        <w:t>24</w:t>
      </w:r>
      <w:r w:rsidR="009F3B5D" w:rsidRPr="00765AF8">
        <w:rPr>
          <w:vertAlign w:val="superscript"/>
        </w:rPr>
        <w:t>th</w:t>
      </w:r>
      <w:r w:rsidR="009F3B5D">
        <w:t xml:space="preserve"> International </w:t>
      </w:r>
      <w:r w:rsidRPr="001562D2">
        <w:t>AIDS</w:t>
      </w:r>
      <w:r w:rsidR="009F3B5D">
        <w:t xml:space="preserve"> Conference;</w:t>
      </w:r>
      <w:r w:rsidRPr="001562D2">
        <w:t xml:space="preserve"> 2022 Jul 29 – Aug 2; Montreal, Canada. Available from: </w:t>
      </w:r>
      <w:hyperlink r:id="rId6" w:history="1">
        <w:r w:rsidRPr="00320D28">
          <w:rPr>
            <w:rStyle w:val="Hyperlink"/>
          </w:rPr>
          <w:t>https://programme.aids2022.org/Abstract/Abstract/?abstractid=12893</w:t>
        </w:r>
      </w:hyperlink>
      <w:r w:rsidR="009F3B5D">
        <w:t>.</w:t>
      </w:r>
    </w:p>
  </w:footnote>
  <w:footnote w:id="22">
    <w:p w14:paraId="26D88228" w14:textId="75B9E8D0" w:rsidR="00791DD1" w:rsidRDefault="00791DD1">
      <w:pPr>
        <w:pStyle w:val="FootnoteText"/>
      </w:pPr>
      <w:r>
        <w:rPr>
          <w:rStyle w:val="FootnoteReference"/>
        </w:rPr>
        <w:footnoteRef/>
      </w:r>
      <w:r>
        <w:t xml:space="preserve"> </w:t>
      </w:r>
      <w:r w:rsidR="00C373FC" w:rsidRPr="00563423">
        <w:t xml:space="preserve">Baeten JM, Palanee-Phillips T, </w:t>
      </w:r>
      <w:proofErr w:type="spellStart"/>
      <w:r w:rsidR="00C373FC" w:rsidRPr="00563423">
        <w:t>Mgodi</w:t>
      </w:r>
      <w:proofErr w:type="spellEnd"/>
      <w:r w:rsidR="00C373FC" w:rsidRPr="00563423">
        <w:t xml:space="preserve"> NM</w:t>
      </w:r>
      <w:r w:rsidR="00852E57">
        <w:t>, Mayo AJ, Szydlo DW</w:t>
      </w:r>
      <w:r w:rsidR="006441B4">
        <w:t>,</w:t>
      </w:r>
      <w:r w:rsidR="00C373FC">
        <w:t xml:space="preserve"> </w:t>
      </w:r>
      <w:r w:rsidR="001C0DA0">
        <w:t xml:space="preserve">Ramjee G, </w:t>
      </w:r>
      <w:r w:rsidR="00C373FC">
        <w:t xml:space="preserve">et al. </w:t>
      </w:r>
      <w:r w:rsidR="00C373FC" w:rsidRPr="00563423">
        <w:t>MTN-025/HOPE Study Team. Safety, uptake, and use of a dapivirine vaginal ring for HIV-1 prevention in African women (HOPE): an open-label, extension study. Lancet HIV. 2021</w:t>
      </w:r>
      <w:r w:rsidR="00345CE8">
        <w:t xml:space="preserve"> Feb</w:t>
      </w:r>
      <w:r w:rsidR="00C373FC" w:rsidRPr="00563423">
        <w:t>;8(2):</w:t>
      </w:r>
      <w:r w:rsidR="756462A9" w:rsidRPr="00563423">
        <w:t xml:space="preserve"> </w:t>
      </w:r>
      <w:r w:rsidR="00C373FC" w:rsidRPr="00563423">
        <w:t>e87</w:t>
      </w:r>
      <w:r w:rsidR="001C0DA0">
        <w:rPr>
          <w:rFonts w:cstheme="minorHAnsi"/>
        </w:rPr>
        <w:t>–</w:t>
      </w:r>
      <w:r w:rsidR="00C373FC" w:rsidRPr="00563423">
        <w:t>e95</w:t>
      </w:r>
      <w:r w:rsidR="00C373FC">
        <w:t>.</w:t>
      </w:r>
    </w:p>
  </w:footnote>
  <w:footnote w:id="23">
    <w:p w14:paraId="7FE29FC5" w14:textId="6997DE2C" w:rsidR="0028145C" w:rsidRDefault="0028145C">
      <w:pPr>
        <w:pStyle w:val="FootnoteText"/>
      </w:pPr>
      <w:r>
        <w:rPr>
          <w:rStyle w:val="FootnoteReference"/>
        </w:rPr>
        <w:footnoteRef/>
      </w:r>
      <w:r w:rsidR="002B581F">
        <w:t xml:space="preserve"> Peebles K, Brown ER, Hendrix CW</w:t>
      </w:r>
      <w:r w:rsidR="000F0B51">
        <w:t>, Palanee-Phil</w:t>
      </w:r>
      <w:r w:rsidR="0057771D">
        <w:t>l</w:t>
      </w:r>
      <w:r w:rsidR="000F0B51">
        <w:t>ips T, van der Straten A</w:t>
      </w:r>
      <w:r w:rsidR="00587602">
        <w:t xml:space="preserve">, </w:t>
      </w:r>
      <w:proofErr w:type="spellStart"/>
      <w:r w:rsidR="00B962B3">
        <w:t>Harkoo</w:t>
      </w:r>
      <w:proofErr w:type="spellEnd"/>
      <w:r w:rsidR="00B962B3">
        <w:t xml:space="preserve"> I, </w:t>
      </w:r>
      <w:r w:rsidR="00587602">
        <w:t xml:space="preserve">et al. Dapivirine ring HIV-1 prevention effectiveness for women engaged in vaginal and anal intercourse: insights from mathematical modeling. </w:t>
      </w:r>
      <w:r w:rsidR="00473005">
        <w:t>J</w:t>
      </w:r>
      <w:r w:rsidR="00143C70">
        <w:t xml:space="preserve"> </w:t>
      </w:r>
      <w:proofErr w:type="spellStart"/>
      <w:r w:rsidR="00143C70">
        <w:t>Acquir</w:t>
      </w:r>
      <w:proofErr w:type="spellEnd"/>
      <w:r w:rsidR="00143C70">
        <w:t xml:space="preserve"> Immune </w:t>
      </w:r>
      <w:proofErr w:type="spellStart"/>
      <w:r w:rsidR="00143C70">
        <w:t>Defic</w:t>
      </w:r>
      <w:proofErr w:type="spellEnd"/>
      <w:r w:rsidR="00143C70">
        <w:t xml:space="preserve"> Syndr</w:t>
      </w:r>
      <w:r w:rsidR="00473005">
        <w:t>. 2022 Oct</w:t>
      </w:r>
      <w:r w:rsidR="00B07E81">
        <w:t xml:space="preserve"> 3</w:t>
      </w:r>
      <w:r w:rsidR="008C3E20">
        <w:t xml:space="preserve">. </w:t>
      </w:r>
      <w:proofErr w:type="spellStart"/>
      <w:r w:rsidR="009D5EA6">
        <w:t>d</w:t>
      </w:r>
      <w:r w:rsidR="00B07E81">
        <w:t>oi</w:t>
      </w:r>
      <w:proofErr w:type="spellEnd"/>
      <w:r w:rsidR="008C3E20">
        <w:t>: 10.1097/QQAI.000000000000</w:t>
      </w:r>
      <w:r>
        <w:t xml:space="preserve">3110. </w:t>
      </w:r>
    </w:p>
  </w:footnote>
  <w:footnote w:id="24">
    <w:p w14:paraId="7AE748BC" w14:textId="02333114" w:rsidR="0028145C" w:rsidRDefault="0028145C">
      <w:pPr>
        <w:pStyle w:val="FootnoteText"/>
      </w:pPr>
      <w:r>
        <w:rPr>
          <w:rStyle w:val="FootnoteReference"/>
        </w:rPr>
        <w:footnoteRef/>
      </w:r>
      <w:r>
        <w:t xml:space="preserve"> </w:t>
      </w:r>
      <w:r w:rsidR="00A82A78">
        <w:t xml:space="preserve">Brown ER, Hendrix CW, van der Straten A, </w:t>
      </w:r>
      <w:proofErr w:type="spellStart"/>
      <w:r w:rsidR="00A82A78">
        <w:t>Kiweewa</w:t>
      </w:r>
      <w:proofErr w:type="spellEnd"/>
      <w:r w:rsidR="00A82A78">
        <w:t xml:space="preserve"> FM, </w:t>
      </w:r>
      <w:proofErr w:type="spellStart"/>
      <w:r w:rsidR="00143C70">
        <w:t>Mgodi</w:t>
      </w:r>
      <w:proofErr w:type="spellEnd"/>
      <w:r w:rsidR="00143C70">
        <w:t xml:space="preserve"> NM, </w:t>
      </w:r>
      <w:r w:rsidR="00345CE8">
        <w:t>Palanee-Phil</w:t>
      </w:r>
      <w:r w:rsidR="0057771D">
        <w:t>l</w:t>
      </w:r>
      <w:r w:rsidR="00345CE8">
        <w:t xml:space="preserve">ips T, </w:t>
      </w:r>
      <w:r w:rsidR="00795897">
        <w:t xml:space="preserve">et al. Greater dapivirine release from the dapivirine vaginal ring is correlated with lower risk of HIV-1 acquisition: a secondary analysis from a randomized, placebo-controlled trial. </w:t>
      </w:r>
      <w:r w:rsidR="0069388A">
        <w:t>J</w:t>
      </w:r>
      <w:r w:rsidR="008E6295">
        <w:t xml:space="preserve"> </w:t>
      </w:r>
      <w:r w:rsidR="00CC0256">
        <w:t xml:space="preserve">Int </w:t>
      </w:r>
      <w:r w:rsidR="008E6295">
        <w:t>A</w:t>
      </w:r>
      <w:r w:rsidR="00CC0256">
        <w:t>IDS Soc</w:t>
      </w:r>
      <w:r w:rsidR="0069388A">
        <w:t>. 2020 Nov;23(11)</w:t>
      </w:r>
      <w:r w:rsidR="00635478">
        <w:t>: e25634.</w:t>
      </w:r>
    </w:p>
  </w:footnote>
  <w:footnote w:id="25">
    <w:p w14:paraId="555C8DBF" w14:textId="58A76DB2" w:rsidR="007F085B" w:rsidRDefault="007F085B">
      <w:pPr>
        <w:pStyle w:val="FootnoteText"/>
      </w:pPr>
      <w:r>
        <w:rPr>
          <w:rStyle w:val="FootnoteReference"/>
        </w:rPr>
        <w:footnoteRef/>
      </w:r>
      <w:r>
        <w:t xml:space="preserve"> </w:t>
      </w:r>
      <w:r w:rsidR="002C17C2" w:rsidRPr="002C17C2">
        <w:t xml:space="preserve">Bunge KE, Levy L, Szydlo DW, Zhang J, Gaur AH, </w:t>
      </w:r>
      <w:proofErr w:type="spellStart"/>
      <w:r w:rsidR="002C17C2" w:rsidRPr="002C17C2">
        <w:t>Reirden</w:t>
      </w:r>
      <w:proofErr w:type="spellEnd"/>
      <w:r w:rsidR="002C17C2" w:rsidRPr="002C17C2">
        <w:t xml:space="preserve"> D, et al. Phase </w:t>
      </w:r>
      <w:proofErr w:type="spellStart"/>
      <w:r w:rsidR="002C17C2" w:rsidRPr="002C17C2">
        <w:t>IIa</w:t>
      </w:r>
      <w:proofErr w:type="spellEnd"/>
      <w:r w:rsidR="002C17C2" w:rsidRPr="002C17C2">
        <w:t xml:space="preserve"> safety study of a vaginal ring containing dapivirine in adolescent young women. J </w:t>
      </w:r>
      <w:proofErr w:type="spellStart"/>
      <w:r w:rsidR="002C17C2" w:rsidRPr="002C17C2">
        <w:t>Acquir</w:t>
      </w:r>
      <w:proofErr w:type="spellEnd"/>
      <w:r w:rsidR="002C17C2" w:rsidRPr="002C17C2">
        <w:t xml:space="preserve"> Immune </w:t>
      </w:r>
      <w:proofErr w:type="spellStart"/>
      <w:r w:rsidR="002C17C2" w:rsidRPr="002C17C2">
        <w:t>Defic</w:t>
      </w:r>
      <w:proofErr w:type="spellEnd"/>
      <w:r w:rsidR="002C17C2" w:rsidRPr="002C17C2">
        <w:t xml:space="preserve"> Syndr. 2020 Feb 1;83(2):135</w:t>
      </w:r>
      <w:r w:rsidR="00A56280">
        <w:rPr>
          <w:rFonts w:cstheme="minorHAnsi"/>
        </w:rPr>
        <w:t>–</w:t>
      </w:r>
      <w:r w:rsidR="002C17C2" w:rsidRPr="002C17C2">
        <w:t xml:space="preserve">39. </w:t>
      </w:r>
    </w:p>
  </w:footnote>
  <w:footnote w:id="26">
    <w:p w14:paraId="5530C61D" w14:textId="5A792FBE" w:rsidR="00CE65EF" w:rsidRPr="00BA08D4" w:rsidRDefault="00CE65EF">
      <w:pPr>
        <w:pStyle w:val="FootnoteText"/>
        <w:rPr>
          <w:lang w:val="fr-FR"/>
        </w:rPr>
      </w:pPr>
      <w:r>
        <w:rPr>
          <w:rStyle w:val="FootnoteReference"/>
        </w:rPr>
        <w:footnoteRef/>
      </w:r>
      <w:r>
        <w:t xml:space="preserve"> </w:t>
      </w:r>
      <w:r w:rsidR="00480B1D">
        <w:t xml:space="preserve">Nair G, Celum C, Szydlo D, Brown ER, Akello CA, </w:t>
      </w:r>
      <w:proofErr w:type="spellStart"/>
      <w:r w:rsidR="00480B1D">
        <w:t>Nakalega</w:t>
      </w:r>
      <w:proofErr w:type="spellEnd"/>
      <w:r w:rsidR="00480B1D">
        <w:t xml:space="preserve"> R, et al. Adherence, safety and choice of the dapivirine vaginal ring and oral emtricitabine-tenofovir disoproxil fumarate for HIV pre-exposure prophylaxis among African adolescent girls and young women: A randomized crossover trial. </w:t>
      </w:r>
      <w:r w:rsidR="00480B1D" w:rsidRPr="00BA08D4">
        <w:rPr>
          <w:lang w:val="fr-FR"/>
        </w:rPr>
        <w:t>Lancet</w:t>
      </w:r>
      <w:r w:rsidR="00237133" w:rsidRPr="00BA08D4">
        <w:rPr>
          <w:lang w:val="fr-FR"/>
        </w:rPr>
        <w:t xml:space="preserve"> HIV</w:t>
      </w:r>
      <w:r w:rsidR="00480B1D" w:rsidRPr="00BA08D4">
        <w:rPr>
          <w:lang w:val="fr-FR"/>
        </w:rPr>
        <w:t>. 2023</w:t>
      </w:r>
      <w:r w:rsidR="007B5115" w:rsidRPr="00BA08D4">
        <w:rPr>
          <w:lang w:val="fr-FR"/>
        </w:rPr>
        <w:t xml:space="preserve"> </w:t>
      </w:r>
      <w:proofErr w:type="gramStart"/>
      <w:r w:rsidR="0060094E" w:rsidRPr="00BA08D4">
        <w:rPr>
          <w:lang w:val="fr-FR"/>
        </w:rPr>
        <w:t>Dec;</w:t>
      </w:r>
      <w:proofErr w:type="gramEnd"/>
      <w:r w:rsidR="0060094E" w:rsidRPr="00BA08D4">
        <w:rPr>
          <w:lang w:val="fr-FR"/>
        </w:rPr>
        <w:t>10(12):e</w:t>
      </w:r>
      <w:r w:rsidR="00237133" w:rsidRPr="00BA08D4">
        <w:rPr>
          <w:lang w:val="fr-FR"/>
        </w:rPr>
        <w:t>779-89.</w:t>
      </w:r>
    </w:p>
  </w:footnote>
  <w:footnote w:id="27">
    <w:p w14:paraId="7500F6A6" w14:textId="22FC770D" w:rsidR="00CE1629" w:rsidRDefault="00CE1629">
      <w:pPr>
        <w:pStyle w:val="FootnoteText"/>
      </w:pPr>
      <w:r>
        <w:rPr>
          <w:rStyle w:val="FootnoteReference"/>
        </w:rPr>
        <w:footnoteRef/>
      </w:r>
      <w:r w:rsidRPr="0029363C">
        <w:rPr>
          <w:lang w:val="fr-FR"/>
        </w:rPr>
        <w:t xml:space="preserve"> </w:t>
      </w:r>
      <w:proofErr w:type="spellStart"/>
      <w:r w:rsidRPr="0029363C">
        <w:rPr>
          <w:lang w:val="fr-FR"/>
        </w:rPr>
        <w:t>Landovitz</w:t>
      </w:r>
      <w:proofErr w:type="spellEnd"/>
      <w:r w:rsidRPr="0029363C">
        <w:rPr>
          <w:lang w:val="fr-FR"/>
        </w:rPr>
        <w:t xml:space="preserve"> RJ, </w:t>
      </w:r>
      <w:proofErr w:type="spellStart"/>
      <w:r w:rsidRPr="0029363C">
        <w:rPr>
          <w:lang w:val="fr-FR"/>
        </w:rPr>
        <w:t>Donnell</w:t>
      </w:r>
      <w:proofErr w:type="spellEnd"/>
      <w:r w:rsidRPr="0029363C">
        <w:rPr>
          <w:lang w:val="fr-FR"/>
        </w:rPr>
        <w:t xml:space="preserve"> D, </w:t>
      </w:r>
      <w:proofErr w:type="spellStart"/>
      <w:r w:rsidRPr="0029363C">
        <w:rPr>
          <w:lang w:val="fr-FR"/>
        </w:rPr>
        <w:t>Clement</w:t>
      </w:r>
      <w:proofErr w:type="spellEnd"/>
      <w:r w:rsidRPr="0029363C">
        <w:rPr>
          <w:lang w:val="fr-FR"/>
        </w:rPr>
        <w:t xml:space="preserve"> ME, </w:t>
      </w:r>
      <w:proofErr w:type="spellStart"/>
      <w:r w:rsidRPr="0029363C">
        <w:rPr>
          <w:lang w:val="fr-FR"/>
        </w:rPr>
        <w:t>Hanscom</w:t>
      </w:r>
      <w:proofErr w:type="spellEnd"/>
      <w:r w:rsidRPr="0029363C">
        <w:rPr>
          <w:lang w:val="fr-FR"/>
        </w:rPr>
        <w:t xml:space="preserve"> B, </w:t>
      </w:r>
      <w:proofErr w:type="spellStart"/>
      <w:r w:rsidRPr="0029363C">
        <w:rPr>
          <w:lang w:val="fr-FR"/>
        </w:rPr>
        <w:t>Cottle</w:t>
      </w:r>
      <w:proofErr w:type="spellEnd"/>
      <w:r w:rsidRPr="0029363C">
        <w:rPr>
          <w:lang w:val="fr-FR"/>
        </w:rPr>
        <w:t xml:space="preserve"> L, Coelho</w:t>
      </w:r>
      <w:r w:rsidR="00B76AAF" w:rsidRPr="0029363C">
        <w:rPr>
          <w:lang w:val="fr-FR"/>
        </w:rPr>
        <w:t xml:space="preserve"> L</w:t>
      </w:r>
      <w:r w:rsidR="0012391D">
        <w:rPr>
          <w:lang w:val="fr-FR"/>
        </w:rPr>
        <w:t>,</w:t>
      </w:r>
      <w:r w:rsidR="00B76AAF" w:rsidRPr="0029363C">
        <w:rPr>
          <w:lang w:val="fr-FR"/>
        </w:rPr>
        <w:t xml:space="preserve"> et al. </w:t>
      </w:r>
      <w:r w:rsidR="00B76AAF">
        <w:t xml:space="preserve">Cabotegravir for HIV prevention in cisgender men and transgender women. </w:t>
      </w:r>
      <w:r w:rsidR="00413393">
        <w:t>N Engl J Med</w:t>
      </w:r>
      <w:r w:rsidR="009609B8">
        <w:t>. 2021</w:t>
      </w:r>
      <w:r w:rsidR="003B6973">
        <w:t xml:space="preserve"> </w:t>
      </w:r>
      <w:r w:rsidR="0072373C">
        <w:t>Aug</w:t>
      </w:r>
      <w:r w:rsidR="0012391D">
        <w:t>;</w:t>
      </w:r>
      <w:r w:rsidR="009609B8">
        <w:t>385</w:t>
      </w:r>
      <w:r w:rsidR="0012391D">
        <w:t>(7)</w:t>
      </w:r>
      <w:r w:rsidR="009609B8">
        <w:t>:595</w:t>
      </w:r>
      <w:r w:rsidR="0012391D">
        <w:t>-</w:t>
      </w:r>
      <w:r w:rsidR="009609B8">
        <w:t xml:space="preserve">608. </w:t>
      </w:r>
    </w:p>
  </w:footnote>
  <w:footnote w:id="28">
    <w:p w14:paraId="4B16EA18" w14:textId="0EB6E945" w:rsidR="00D67D8E" w:rsidRPr="0029363C" w:rsidRDefault="00D67D8E">
      <w:pPr>
        <w:pStyle w:val="FootnoteText"/>
        <w:rPr>
          <w:lang w:val="fr-FR"/>
        </w:rPr>
      </w:pPr>
      <w:r>
        <w:rPr>
          <w:rStyle w:val="FootnoteReference"/>
        </w:rPr>
        <w:footnoteRef/>
      </w:r>
      <w:r>
        <w:t xml:space="preserve"> </w:t>
      </w:r>
      <w:r w:rsidR="00287554">
        <w:t>Niemi M, Backman JT, Fromm MF, Neuvonen PJ, Kivist</w:t>
      </w:r>
      <w:r w:rsidR="0056087C">
        <w:rPr>
          <w:rFonts w:cstheme="minorHAnsi"/>
        </w:rPr>
        <w:t xml:space="preserve">ö, KT. </w:t>
      </w:r>
      <w:proofErr w:type="spellStart"/>
      <w:r w:rsidR="0056087C">
        <w:rPr>
          <w:rFonts w:cstheme="minorHAnsi"/>
        </w:rPr>
        <w:t>Pharmacokinectic</w:t>
      </w:r>
      <w:proofErr w:type="spellEnd"/>
      <w:r w:rsidR="0056087C">
        <w:rPr>
          <w:rFonts w:cstheme="minorHAnsi"/>
        </w:rPr>
        <w:t xml:space="preserve"> interactions with rifampicin: clinical relevance. </w:t>
      </w:r>
      <w:r w:rsidR="00885C25" w:rsidRPr="0029363C">
        <w:rPr>
          <w:rFonts w:cstheme="minorHAnsi"/>
          <w:lang w:val="fr-FR"/>
        </w:rPr>
        <w:t xml:space="preserve">Clin </w:t>
      </w:r>
      <w:proofErr w:type="spellStart"/>
      <w:r w:rsidR="009858AC">
        <w:rPr>
          <w:rFonts w:cstheme="minorHAnsi"/>
          <w:lang w:val="fr-FR"/>
        </w:rPr>
        <w:t>P</w:t>
      </w:r>
      <w:r w:rsidR="00885C25" w:rsidRPr="0029363C">
        <w:rPr>
          <w:rFonts w:cstheme="minorHAnsi"/>
          <w:lang w:val="fr-FR"/>
        </w:rPr>
        <w:t>harmacokinetc</w:t>
      </w:r>
      <w:proofErr w:type="spellEnd"/>
      <w:r w:rsidR="00885C25" w:rsidRPr="0029363C">
        <w:rPr>
          <w:rFonts w:cstheme="minorHAnsi"/>
          <w:lang w:val="fr-FR"/>
        </w:rPr>
        <w:t xml:space="preserve">. </w:t>
      </w:r>
      <w:proofErr w:type="gramStart"/>
      <w:r w:rsidR="00885C25" w:rsidRPr="0029363C">
        <w:rPr>
          <w:rFonts w:cstheme="minorHAnsi"/>
          <w:lang w:val="fr-FR"/>
        </w:rPr>
        <w:t>2003;</w:t>
      </w:r>
      <w:proofErr w:type="gramEnd"/>
      <w:r w:rsidR="00885C25" w:rsidRPr="0029363C">
        <w:rPr>
          <w:rFonts w:cstheme="minorHAnsi"/>
          <w:lang w:val="fr-FR"/>
        </w:rPr>
        <w:t xml:space="preserve">42(9):819-50. </w:t>
      </w:r>
    </w:p>
  </w:footnote>
  <w:footnote w:id="29">
    <w:p w14:paraId="7FE030DB" w14:textId="1721E25F" w:rsidR="008C27B4" w:rsidRPr="00CE6534" w:rsidRDefault="008C27B4">
      <w:pPr>
        <w:pStyle w:val="FootnoteText"/>
      </w:pPr>
      <w:r w:rsidRPr="00122BEE">
        <w:rPr>
          <w:rStyle w:val="FootnoteReference"/>
        </w:rPr>
        <w:footnoteRef/>
      </w:r>
      <w:r w:rsidRPr="0012391D">
        <w:rPr>
          <w:lang w:val="fr-FR"/>
        </w:rPr>
        <w:t xml:space="preserve"> </w:t>
      </w:r>
      <w:proofErr w:type="spellStart"/>
      <w:r w:rsidR="00540EAB" w:rsidRPr="0012391D">
        <w:rPr>
          <w:lang w:val="fr-FR"/>
        </w:rPr>
        <w:t>Grinsztejn</w:t>
      </w:r>
      <w:proofErr w:type="spellEnd"/>
      <w:r w:rsidR="00540EAB" w:rsidRPr="0012391D">
        <w:rPr>
          <w:lang w:val="fr-FR"/>
        </w:rPr>
        <w:t xml:space="preserve"> B, </w:t>
      </w:r>
      <w:proofErr w:type="spellStart"/>
      <w:r w:rsidR="00540EAB" w:rsidRPr="0012391D">
        <w:rPr>
          <w:lang w:val="fr-FR"/>
        </w:rPr>
        <w:t>Hanscom</w:t>
      </w:r>
      <w:proofErr w:type="spellEnd"/>
      <w:r w:rsidR="00540EAB" w:rsidRPr="0012391D">
        <w:rPr>
          <w:lang w:val="fr-FR"/>
        </w:rPr>
        <w:t xml:space="preserve"> B, Wang Z, </w:t>
      </w:r>
      <w:proofErr w:type="spellStart"/>
      <w:r w:rsidR="00540EAB" w:rsidRPr="0012391D">
        <w:rPr>
          <w:lang w:val="fr-FR"/>
        </w:rPr>
        <w:t>Donnell</w:t>
      </w:r>
      <w:proofErr w:type="spellEnd"/>
      <w:r w:rsidR="00540EAB" w:rsidRPr="0012391D">
        <w:rPr>
          <w:lang w:val="fr-FR"/>
        </w:rPr>
        <w:t xml:space="preserve"> D, Richardson P, Sullivan P</w:t>
      </w:r>
      <w:r w:rsidR="0019137E" w:rsidRPr="0012391D">
        <w:rPr>
          <w:lang w:val="fr-FR"/>
        </w:rPr>
        <w:t>,</w:t>
      </w:r>
      <w:r w:rsidR="00540EAB" w:rsidRPr="0012391D">
        <w:rPr>
          <w:lang w:val="fr-FR"/>
        </w:rPr>
        <w:t xml:space="preserve"> et al. </w:t>
      </w:r>
      <w:r w:rsidR="00540EAB" w:rsidRPr="00540EAB">
        <w:t xml:space="preserve">Transgender women </w:t>
      </w:r>
      <w:r w:rsidR="00E25FC7">
        <w:t xml:space="preserve">(TGW) </w:t>
      </w:r>
      <w:r w:rsidR="00540EAB" w:rsidRPr="00540EAB">
        <w:t xml:space="preserve">in HPTN 083: an evaluation of safety, efficacy, and gender affirming hormonal </w:t>
      </w:r>
      <w:r w:rsidR="00B716A4" w:rsidRPr="00540EAB">
        <w:t xml:space="preserve">therapy </w:t>
      </w:r>
      <w:r w:rsidR="00B716A4">
        <w:t>interactions</w:t>
      </w:r>
      <w:r w:rsidR="00540EAB" w:rsidRPr="00540EAB">
        <w:t xml:space="preserve"> with long-acting cabotegravir</w:t>
      </w:r>
      <w:r w:rsidR="00E25FC7">
        <w:t xml:space="preserve"> (CAB-LA)</w:t>
      </w:r>
      <w:r w:rsidR="00540EAB" w:rsidRPr="00540EAB">
        <w:t xml:space="preserve"> [abstract]</w:t>
      </w:r>
      <w:r w:rsidR="009B541A">
        <w:t>.</w:t>
      </w:r>
      <w:r w:rsidR="00540EAB" w:rsidRPr="00540EAB">
        <w:t xml:space="preserve"> </w:t>
      </w:r>
      <w:r w:rsidR="001B45C6">
        <w:t>24</w:t>
      </w:r>
      <w:r w:rsidR="001B45C6" w:rsidRPr="00765AF8">
        <w:rPr>
          <w:vertAlign w:val="superscript"/>
        </w:rPr>
        <w:t>th</w:t>
      </w:r>
      <w:r w:rsidR="001B45C6">
        <w:t xml:space="preserve"> International </w:t>
      </w:r>
      <w:r w:rsidR="00540EAB" w:rsidRPr="00540EAB">
        <w:t>AIDS</w:t>
      </w:r>
      <w:r w:rsidR="001B45C6">
        <w:t xml:space="preserve"> Conference;</w:t>
      </w:r>
      <w:r w:rsidR="00540EAB" w:rsidRPr="00540EAB">
        <w:t xml:space="preserve"> 2022 Jul 29 – Aug 2; Montreal, Canada. Available from: </w:t>
      </w:r>
      <w:hyperlink r:id="rId7" w:history="1">
        <w:r w:rsidR="00540EAB" w:rsidRPr="00320D28">
          <w:rPr>
            <w:rStyle w:val="Hyperlink"/>
          </w:rPr>
          <w:t>https://programme.aids2022.org/Abstract/Abstract/?abstractid=12707</w:t>
        </w:r>
      </w:hyperlink>
      <w:r w:rsidR="00023207">
        <w:t>.</w:t>
      </w:r>
      <w:r w:rsidR="00540EAB" w:rsidRPr="00540EAB">
        <w:t xml:space="preserve"> </w:t>
      </w:r>
      <w:r w:rsidR="00540EAB">
        <w:t xml:space="preserve"> </w:t>
      </w:r>
    </w:p>
  </w:footnote>
  <w:footnote w:id="30">
    <w:p w14:paraId="0FC408B5" w14:textId="078718DE" w:rsidR="0024710A" w:rsidRDefault="0024710A">
      <w:pPr>
        <w:pStyle w:val="FootnoteText"/>
      </w:pPr>
      <w:r w:rsidRPr="00181AD3">
        <w:rPr>
          <w:rStyle w:val="FootnoteReference"/>
        </w:rPr>
        <w:footnoteRef/>
      </w:r>
      <w:r w:rsidRPr="00181AD3">
        <w:t xml:space="preserve"> </w:t>
      </w:r>
      <w:proofErr w:type="spellStart"/>
      <w:r w:rsidR="00181AD3" w:rsidRPr="00181AD3">
        <w:t>Landovitz</w:t>
      </w:r>
      <w:proofErr w:type="spellEnd"/>
      <w:r w:rsidR="00181AD3" w:rsidRPr="00181AD3">
        <w:t xml:space="preserve"> RJ, Li S, </w:t>
      </w:r>
      <w:proofErr w:type="spellStart"/>
      <w:r w:rsidR="00181AD3" w:rsidRPr="00181AD3">
        <w:t>Grinsztejn</w:t>
      </w:r>
      <w:proofErr w:type="spellEnd"/>
      <w:r w:rsidR="00181AD3" w:rsidRPr="00181AD3">
        <w:t xml:space="preserve"> B, Dawood H, Liu AY, Magnus M, et al. Safety, tolerability, and pharmacokinetics of long acting injectable cabotegravir in low-risk HIV uninfected individuals: HPTN 077, a phase 2a randomized controlled trial. </w:t>
      </w:r>
      <w:proofErr w:type="spellStart"/>
      <w:r w:rsidR="00181AD3" w:rsidRPr="00181AD3">
        <w:t>PLoS</w:t>
      </w:r>
      <w:proofErr w:type="spellEnd"/>
      <w:r w:rsidR="00181AD3" w:rsidRPr="00181AD3">
        <w:t xml:space="preserve"> Med. 2018 Nov 8;15(11</w:t>
      </w:r>
      <w:proofErr w:type="gramStart"/>
      <w:r w:rsidR="00181AD3" w:rsidRPr="00181AD3">
        <w:t>):e</w:t>
      </w:r>
      <w:proofErr w:type="gramEnd"/>
      <w:r w:rsidR="00181AD3" w:rsidRPr="00181AD3">
        <w:t>10026900.</w:t>
      </w:r>
    </w:p>
  </w:footnote>
  <w:footnote w:id="31">
    <w:p w14:paraId="2B9B7785" w14:textId="09F611DC" w:rsidR="008845C6" w:rsidRDefault="008845C6">
      <w:pPr>
        <w:pStyle w:val="FootnoteText"/>
      </w:pPr>
      <w:r>
        <w:rPr>
          <w:rStyle w:val="FootnoteReference"/>
        </w:rPr>
        <w:footnoteRef/>
      </w:r>
      <w:r>
        <w:t xml:space="preserve"> </w:t>
      </w:r>
      <w:proofErr w:type="spellStart"/>
      <w:r w:rsidRPr="008845C6">
        <w:t>Grinsztejn</w:t>
      </w:r>
      <w:proofErr w:type="spellEnd"/>
      <w:r w:rsidRPr="008845C6">
        <w:t xml:space="preserve"> </w:t>
      </w:r>
      <w:r>
        <w:t>B et al.</w:t>
      </w:r>
      <w:r w:rsidR="00147E69">
        <w:t xml:space="preserve"> </w:t>
      </w:r>
      <w:r w:rsidR="00091D79">
        <w:t>(footnote</w:t>
      </w:r>
      <w:r w:rsidR="00F31F11">
        <w:t xml:space="preserve"> 3</w:t>
      </w:r>
      <w:r w:rsidR="00AB3E60">
        <w:t>4</w:t>
      </w:r>
      <w:r w:rsidR="00F31F11">
        <w:t>)</w:t>
      </w:r>
    </w:p>
  </w:footnote>
  <w:footnote w:id="32">
    <w:p w14:paraId="67D2FC15" w14:textId="3FDD5876" w:rsidR="00F92B8A" w:rsidRDefault="00F92B8A">
      <w:pPr>
        <w:pStyle w:val="FootnoteText"/>
      </w:pPr>
      <w:r>
        <w:rPr>
          <w:rStyle w:val="FootnoteReference"/>
        </w:rPr>
        <w:footnoteRef/>
      </w:r>
      <w:r>
        <w:t xml:space="preserve"> </w:t>
      </w:r>
      <w:r w:rsidR="00487D16">
        <w:t>While AHI should be assessed for prospective PrEP clients</w:t>
      </w:r>
      <w:r w:rsidR="001A2DD5">
        <w:t xml:space="preserve"> regardless of method, those suspected of AHI may still be able to use the ring. </w:t>
      </w:r>
      <w:r w:rsidR="00E26F58" w:rsidRPr="00A858F7">
        <w:t>If AHI is suspected, strong</w:t>
      </w:r>
      <w:r w:rsidR="00472531" w:rsidRPr="00A858F7">
        <w:t>ly</w:t>
      </w:r>
      <w:r w:rsidR="00E26F58" w:rsidRPr="00A858F7">
        <w:t xml:space="preserve"> encourage the person to return in 4-6 weeks for re-testing and not wait for 3 months.</w:t>
      </w:r>
    </w:p>
  </w:footnote>
  <w:footnote w:id="33">
    <w:p w14:paraId="35D95CEE" w14:textId="1A7D9B70" w:rsidR="007E4F45" w:rsidRDefault="007E4F45" w:rsidP="00107FBC">
      <w:pPr>
        <w:pStyle w:val="FootnoteText"/>
      </w:pPr>
      <w:r>
        <w:rPr>
          <w:rStyle w:val="FootnoteReference"/>
        </w:rPr>
        <w:footnoteRef/>
      </w:r>
      <w:r>
        <w:t xml:space="preserve"> </w:t>
      </w:r>
      <w:proofErr w:type="spellStart"/>
      <w:r w:rsidR="00107FBC">
        <w:t>Kiptinness</w:t>
      </w:r>
      <w:proofErr w:type="spellEnd"/>
      <w:r w:rsidR="00107FBC">
        <w:t xml:space="preserve"> C, Kuo AP, Reedy AM, Johnson CC, Ngure K, Wagner AD, et al. </w:t>
      </w:r>
      <w:r w:rsidR="00081B02">
        <w:t>E</w:t>
      </w:r>
      <w:r w:rsidR="00107FBC">
        <w:t xml:space="preserve">xamining the use of </w:t>
      </w:r>
      <w:r w:rsidR="00AD1F7B">
        <w:t>HIV</w:t>
      </w:r>
      <w:r w:rsidR="00107FBC">
        <w:t xml:space="preserve"> self-testing to support PrEP</w:t>
      </w:r>
      <w:r w:rsidR="00170CC0">
        <w:t xml:space="preserve"> </w:t>
      </w:r>
      <w:r w:rsidR="00107FBC">
        <w:t xml:space="preserve">delivery: a systematic literature review. Curr HIV/AIDS Rep. 2022;19(5):394–408. </w:t>
      </w:r>
    </w:p>
  </w:footnote>
  <w:footnote w:id="34">
    <w:p w14:paraId="4D08D696" w14:textId="4017D301" w:rsidR="00666A6C" w:rsidRDefault="00666A6C">
      <w:pPr>
        <w:pStyle w:val="FootnoteText"/>
      </w:pPr>
      <w:r w:rsidRPr="009B04EC">
        <w:rPr>
          <w:rStyle w:val="FootnoteReference"/>
        </w:rPr>
        <w:footnoteRef/>
      </w:r>
      <w:r w:rsidRPr="009B04EC">
        <w:t xml:space="preserve"> Clients may use the PrEP ring while awaiting HIV retesting, if ring is an appropriate alternative HIV prevention method given a client’s needs and preferences.</w:t>
      </w:r>
    </w:p>
  </w:footnote>
  <w:footnote w:id="35">
    <w:p w14:paraId="6D1BC218" w14:textId="2A685BC3" w:rsidR="009D2CFC" w:rsidRDefault="009D2CFC">
      <w:pPr>
        <w:pStyle w:val="FootnoteText"/>
      </w:pPr>
      <w:r>
        <w:rPr>
          <w:rStyle w:val="FootnoteReference"/>
        </w:rPr>
        <w:footnoteRef/>
      </w:r>
      <w:r>
        <w:t xml:space="preserve"> </w:t>
      </w:r>
      <w:r w:rsidR="001A6BAE">
        <w:t>WHO. Guidelines for HIV post-exposure prophylaxis [Internet]. Geneva: WHO; 2024. Available from:</w:t>
      </w:r>
      <w:r w:rsidR="001A6BAE" w:rsidRPr="001A6BAE">
        <w:t xml:space="preserve"> </w:t>
      </w:r>
      <w:r w:rsidR="001A6BAE">
        <w:t xml:space="preserve"> </w:t>
      </w:r>
      <w:hyperlink r:id="rId8" w:anchor=":~:text=PEP%20is%20most%20effective%20when,28%2Dday%20prescription%20for%20PEP" w:history="1">
        <w:r w:rsidR="00590AD7" w:rsidRPr="00B75F60">
          <w:rPr>
            <w:rStyle w:val="Hyperlink"/>
          </w:rPr>
          <w:t>https://www.who.int/publications/i/item/9789240095137#:~:text=PEP%20is%20most%20effective%20when,28%2Dday%20prescription%20for%20PEP</w:t>
        </w:r>
      </w:hyperlink>
      <w:r w:rsidR="001A6BAE" w:rsidRPr="001A6BAE">
        <w:t>.</w:t>
      </w:r>
      <w:r w:rsidR="00590AD7">
        <w:t xml:space="preserve"> </w:t>
      </w:r>
    </w:p>
  </w:footnote>
  <w:footnote w:id="36">
    <w:p w14:paraId="1E2C0512" w14:textId="02821687" w:rsidR="009C0027" w:rsidRPr="005C2F5A" w:rsidRDefault="009C0027">
      <w:pPr>
        <w:pStyle w:val="FootnoteText"/>
        <w:rPr>
          <w:lang w:val="fr-FR"/>
        </w:rPr>
      </w:pPr>
      <w:r>
        <w:rPr>
          <w:rStyle w:val="FootnoteReference"/>
        </w:rPr>
        <w:footnoteRef/>
      </w:r>
      <w:r w:rsidR="00CA6161" w:rsidRPr="005C2F5A">
        <w:rPr>
          <w:lang w:val="fr-FR"/>
        </w:rPr>
        <w:t xml:space="preserve"> Bunge K, et al. </w:t>
      </w:r>
      <w:r w:rsidR="00D81DFA">
        <w:rPr>
          <w:lang w:val="fr-FR"/>
        </w:rPr>
        <w:t>(</w:t>
      </w:r>
      <w:proofErr w:type="spellStart"/>
      <w:proofErr w:type="gramStart"/>
      <w:r w:rsidR="00D81DFA">
        <w:rPr>
          <w:lang w:val="fr-FR"/>
        </w:rPr>
        <w:t>footnote</w:t>
      </w:r>
      <w:proofErr w:type="spellEnd"/>
      <w:proofErr w:type="gramEnd"/>
      <w:r w:rsidR="00D81DFA">
        <w:rPr>
          <w:lang w:val="fr-FR"/>
        </w:rPr>
        <w:t xml:space="preserve"> 21)</w:t>
      </w:r>
      <w:r w:rsidR="00CA6161" w:rsidRPr="005C2F5A">
        <w:rPr>
          <w:lang w:val="fr-FR"/>
        </w:rPr>
        <w:t>.</w:t>
      </w:r>
    </w:p>
  </w:footnote>
  <w:footnote w:id="37">
    <w:p w14:paraId="4CA200D5" w14:textId="54499680" w:rsidR="009C0027" w:rsidRPr="005C2F5A" w:rsidRDefault="009C0027">
      <w:pPr>
        <w:pStyle w:val="FootnoteText"/>
        <w:rPr>
          <w:lang w:val="fr-FR"/>
        </w:rPr>
      </w:pPr>
      <w:r>
        <w:rPr>
          <w:rStyle w:val="FootnoteReference"/>
        </w:rPr>
        <w:footnoteRef/>
      </w:r>
      <w:r w:rsidRPr="005C2F5A">
        <w:rPr>
          <w:lang w:val="fr-FR"/>
        </w:rPr>
        <w:t xml:space="preserve"> </w:t>
      </w:r>
      <w:proofErr w:type="spellStart"/>
      <w:r w:rsidR="00CA6161" w:rsidRPr="005C2F5A">
        <w:rPr>
          <w:lang w:val="fr-FR"/>
        </w:rPr>
        <w:t>Makanani</w:t>
      </w:r>
      <w:proofErr w:type="spellEnd"/>
      <w:r w:rsidR="00CA6161" w:rsidRPr="005C2F5A">
        <w:rPr>
          <w:lang w:val="fr-FR"/>
        </w:rPr>
        <w:t xml:space="preserve"> B, et al. </w:t>
      </w:r>
      <w:r w:rsidR="00D81DFA">
        <w:rPr>
          <w:lang w:val="fr-FR"/>
        </w:rPr>
        <w:t>(</w:t>
      </w:r>
      <w:proofErr w:type="spellStart"/>
      <w:proofErr w:type="gramStart"/>
      <w:r w:rsidR="00D81DFA">
        <w:rPr>
          <w:lang w:val="fr-FR"/>
        </w:rPr>
        <w:t>footnote</w:t>
      </w:r>
      <w:proofErr w:type="spellEnd"/>
      <w:proofErr w:type="gramEnd"/>
      <w:r w:rsidR="00D81DFA">
        <w:rPr>
          <w:lang w:val="fr-FR"/>
        </w:rPr>
        <w:t xml:space="preserve"> 22)</w:t>
      </w:r>
      <w:r w:rsidR="002F5E73">
        <w:rPr>
          <w:lang w:val="fr-FR"/>
        </w:rPr>
        <w:t>.</w:t>
      </w:r>
    </w:p>
  </w:footnote>
  <w:footnote w:id="38">
    <w:p w14:paraId="17D2CA0A" w14:textId="3CD6390E" w:rsidR="009C0027" w:rsidRDefault="009C0027">
      <w:pPr>
        <w:pStyle w:val="FootnoteText"/>
      </w:pPr>
      <w:r>
        <w:rPr>
          <w:rStyle w:val="FootnoteReference"/>
        </w:rPr>
        <w:footnoteRef/>
      </w:r>
      <w:r>
        <w:t xml:space="preserve"> </w:t>
      </w:r>
      <w:r w:rsidR="00CA6161">
        <w:t xml:space="preserve">Mhlanga F, et al. </w:t>
      </w:r>
      <w:r w:rsidR="00403E7E">
        <w:t>(footnote 23)</w:t>
      </w:r>
      <w:r w:rsidR="002F5E73">
        <w:t>.</w:t>
      </w:r>
    </w:p>
  </w:footnote>
  <w:footnote w:id="39">
    <w:p w14:paraId="205F4D5F" w14:textId="6E4F9711" w:rsidR="009D237D" w:rsidRDefault="009D237D">
      <w:pPr>
        <w:pStyle w:val="FootnoteText"/>
      </w:pPr>
      <w:r>
        <w:rPr>
          <w:rStyle w:val="FootnoteReference"/>
        </w:rPr>
        <w:footnoteRef/>
      </w:r>
      <w:r>
        <w:t xml:space="preserve"> </w:t>
      </w:r>
      <w:r w:rsidR="0013465D">
        <w:t xml:space="preserve">Owor M, et al. </w:t>
      </w:r>
      <w:r w:rsidR="002F5E73">
        <w:t>(footnote 24).</w:t>
      </w:r>
    </w:p>
  </w:footnote>
  <w:footnote w:id="40">
    <w:p w14:paraId="1ECB5EED" w14:textId="686E4F5C" w:rsidR="003A63DA" w:rsidRDefault="003A63DA">
      <w:pPr>
        <w:pStyle w:val="FootnoteText"/>
      </w:pPr>
      <w:r>
        <w:rPr>
          <w:rStyle w:val="FootnoteReference"/>
        </w:rPr>
        <w:footnoteRef/>
      </w:r>
      <w:r>
        <w:t xml:space="preserve"> Delaney-</w:t>
      </w:r>
      <w:proofErr w:type="spellStart"/>
      <w:r>
        <w:t>Moretlwe</w:t>
      </w:r>
      <w:proofErr w:type="spellEnd"/>
      <w:r>
        <w:t xml:space="preserve"> S, </w:t>
      </w:r>
      <w:proofErr w:type="spellStart"/>
      <w:r>
        <w:t>Voldal</w:t>
      </w:r>
      <w:proofErr w:type="spellEnd"/>
      <w:r>
        <w:t xml:space="preserve"> E, Saidi F, Stranix-Chibanda L, </w:t>
      </w:r>
      <w:proofErr w:type="spellStart"/>
      <w:r>
        <w:t>Bhondai-Mhuri</w:t>
      </w:r>
      <w:proofErr w:type="spellEnd"/>
      <w:r>
        <w:t xml:space="preserve"> M, </w:t>
      </w:r>
      <w:proofErr w:type="spellStart"/>
      <w:r w:rsidR="00690A81">
        <w:t>Mandima</w:t>
      </w:r>
      <w:proofErr w:type="spellEnd"/>
      <w:r w:rsidR="00690A81">
        <w:t xml:space="preserve"> P, </w:t>
      </w:r>
      <w:r>
        <w:t>et al. Initial evaluation of injectable cabotegravir safety during pregnancy in the HPTN 084 open-label extension [abstract]</w:t>
      </w:r>
      <w:r w:rsidR="000B1E1E">
        <w:t>.</w:t>
      </w:r>
      <w:r>
        <w:t xml:space="preserve"> 25</w:t>
      </w:r>
      <w:r w:rsidRPr="0008528D">
        <w:rPr>
          <w:vertAlign w:val="superscript"/>
        </w:rPr>
        <w:t>th</w:t>
      </w:r>
      <w:r>
        <w:t xml:space="preserve"> International AIDS Conference. 2024 July 22</w:t>
      </w:r>
      <w:r w:rsidR="00E0739C">
        <w:rPr>
          <w:rFonts w:cstheme="minorHAnsi"/>
        </w:rPr>
        <w:t>–</w:t>
      </w:r>
      <w:r>
        <w:t xml:space="preserve">26; Munich, Germany. Available from: </w:t>
      </w:r>
      <w:hyperlink r:id="rId9" w:history="1">
        <w:r w:rsidR="00227E0D" w:rsidRPr="00495BCB">
          <w:rPr>
            <w:rStyle w:val="Hyperlink"/>
          </w:rPr>
          <w:t>https://programme.aids2024.org/Abstract/Abstract/?abstractid=12420</w:t>
        </w:r>
      </w:hyperlink>
      <w:r w:rsidR="00E0739C">
        <w:t>.</w:t>
      </w:r>
    </w:p>
  </w:footnote>
  <w:footnote w:id="41">
    <w:p w14:paraId="187AADF0" w14:textId="6AE77C8C" w:rsidR="00415548" w:rsidRDefault="00415548">
      <w:pPr>
        <w:pStyle w:val="FootnoteText"/>
      </w:pPr>
      <w:r>
        <w:rPr>
          <w:rStyle w:val="FootnoteReference"/>
        </w:rPr>
        <w:footnoteRef/>
      </w:r>
      <w:r>
        <w:t xml:space="preserve"> </w:t>
      </w:r>
      <w:proofErr w:type="spellStart"/>
      <w:r w:rsidR="004A4851">
        <w:t>Marzinke</w:t>
      </w:r>
      <w:proofErr w:type="spellEnd"/>
      <w:r w:rsidR="004A4851">
        <w:t xml:space="preserve"> M, </w:t>
      </w:r>
      <w:proofErr w:type="spellStart"/>
      <w:r w:rsidR="004A4851">
        <w:t>Voldal</w:t>
      </w:r>
      <w:proofErr w:type="spellEnd"/>
      <w:r w:rsidR="004A4851">
        <w:t xml:space="preserve"> E, Hanscom B, Guo X, Piwowar-Manning E, </w:t>
      </w:r>
      <w:r w:rsidR="00330F6C">
        <w:t>Agye</w:t>
      </w:r>
      <w:r w:rsidR="00D300C8">
        <w:t>i</w:t>
      </w:r>
      <w:r w:rsidR="00330F6C">
        <w:t xml:space="preserve"> Y, </w:t>
      </w:r>
      <w:r w:rsidR="004A4851">
        <w:t>et al. Evaluation of long-acting cabotegravir pharmacokinetics during pregnancy: a sub-study analysis of the HPTN 084 open label extension study [abstract]. 25</w:t>
      </w:r>
      <w:r w:rsidR="004A4851" w:rsidRPr="0008528D">
        <w:rPr>
          <w:vertAlign w:val="superscript"/>
        </w:rPr>
        <w:t>th</w:t>
      </w:r>
      <w:r w:rsidR="004A4851">
        <w:t xml:space="preserve"> International AIDS Conference. 2024 July </w:t>
      </w:r>
      <w:r w:rsidR="00536DBD">
        <w:t>22-26</w:t>
      </w:r>
      <w:r w:rsidR="003A63DA">
        <w:t>; Munich, Germany</w:t>
      </w:r>
      <w:r w:rsidR="00536DBD">
        <w:t xml:space="preserve">. Available from: </w:t>
      </w:r>
      <w:hyperlink r:id="rId10" w:history="1">
        <w:r w:rsidR="00970AFA" w:rsidRPr="008E75D4">
          <w:rPr>
            <w:rStyle w:val="Hyperlink"/>
          </w:rPr>
          <w:t>https://programme.aids2024.org/Abstract/Abstract/?abstractid=12032</w:t>
        </w:r>
      </w:hyperlink>
      <w:r w:rsidR="00970AFA">
        <w:t xml:space="preserve"> </w:t>
      </w:r>
    </w:p>
    <w:p w14:paraId="7EBB5D11" w14:textId="6DBAEF29" w:rsidR="004A4851" w:rsidRDefault="004A4851">
      <w:pPr>
        <w:pStyle w:val="FootnoteText"/>
      </w:pPr>
    </w:p>
  </w:footnote>
  <w:footnote w:id="42">
    <w:p w14:paraId="55A578AC" w14:textId="1CC43C7D" w:rsidR="0059486B" w:rsidRDefault="0059486B">
      <w:pPr>
        <w:pStyle w:val="FootnoteText"/>
      </w:pPr>
      <w:r>
        <w:rPr>
          <w:rStyle w:val="FootnoteReference"/>
        </w:rPr>
        <w:footnoteRef/>
      </w:r>
      <w:r>
        <w:t xml:space="preserve"> </w:t>
      </w:r>
      <w:r w:rsidR="008353E9" w:rsidRPr="008353E9">
        <w:t>WHO. Implementation tool for pre-exposure prophylaxis of HIV infection – Integrating</w:t>
      </w:r>
      <w:r>
        <w:t xml:space="preserve"> STI </w:t>
      </w:r>
      <w:r w:rsidR="008353E9" w:rsidRPr="008353E9">
        <w:t>services. [Internet]. Geneva: WHO; 2022 [cited 2022 Nov 15]. Available from</w:t>
      </w:r>
      <w:r w:rsidR="00313D09">
        <w:t xml:space="preserve"> </w:t>
      </w:r>
      <w:hyperlink r:id="rId11" w:history="1">
        <w:r w:rsidR="00313D09" w:rsidRPr="00190F44">
          <w:rPr>
            <w:rStyle w:val="Hyperlink"/>
          </w:rPr>
          <w:t>https://www.who.int/publications/i/item/9789240057425</w:t>
        </w:r>
      </w:hyperlink>
      <w:r w:rsidR="00B13862">
        <w:t>.</w:t>
      </w:r>
    </w:p>
  </w:footnote>
</w:footnotes>
</file>

<file path=word/intelligence2.xml><?xml version="1.0" encoding="utf-8"?>
<int2:intelligence xmlns:int2="http://schemas.microsoft.com/office/intelligence/2020/intelligence" xmlns:oel="http://schemas.microsoft.com/office/2019/extlst">
  <int2:observations>
    <int2:bookmark int2:bookmarkName="_Int_Z7xrIxam" int2:invalidationBookmarkName="" int2:hashCode="sLSmHOVaTtZaft" int2:id="2SLpjtit">
      <int2:state int2:value="Rejected" int2:type="LegacyProofing"/>
    </int2:bookmark>
    <int2:bookmark int2:bookmarkName="_Int_At53lGcH" int2:invalidationBookmarkName="" int2:hashCode="sLSmHOVaTtZaft" int2:id="36hnzNjH">
      <int2:state int2:value="Rejected" int2:type="LegacyProofing"/>
    </int2:bookmark>
    <int2:bookmark int2:bookmarkName="_Int_2fVdc7G2" int2:invalidationBookmarkName="" int2:hashCode="OFZu9gqspe//Nv" int2:id="74VrXf0o">
      <int2:state int2:value="Rejected" int2:type="LegacyProofing"/>
    </int2:bookmark>
    <int2:bookmark int2:bookmarkName="_Int_MyyS0SWp" int2:invalidationBookmarkName="" int2:hashCode="Pygvy6iTPgOmWm" int2:id="F5iQL5Yr">
      <int2:state int2:value="Rejected" int2:type="LegacyProofing"/>
    </int2:bookmark>
    <int2:bookmark int2:bookmarkName="_Int_GGgdHMsh" int2:invalidationBookmarkName="" int2:hashCode="sLSmHOVaTtZaft" int2:id="ITBlec4l">
      <int2:state int2:value="Rejected" int2:type="LegacyProofing"/>
    </int2:bookmark>
    <int2:bookmark int2:bookmarkName="_Int_L1VfG5yq" int2:invalidationBookmarkName="" int2:hashCode="tH82PitDDAZH8U" int2:id="Xe41hNmQ">
      <int2:state int2:value="Rejected" int2:type="LegacyProofing"/>
    </int2:bookmark>
    <int2:bookmark int2:bookmarkName="_Int_0FJRtHEf" int2:invalidationBookmarkName="" int2:hashCode="N9QWmb3uT8uWnK" int2:id="YhNiP6UN">
      <int2:state int2:value="Rejected" int2:type="LegacyProofing"/>
    </int2:bookmark>
    <int2:bookmark int2:bookmarkName="_Int_q9J6crVl" int2:invalidationBookmarkName="" int2:hashCode="CFUAnEZyilyMua" int2:id="oszT7Dhl">
      <int2:state int2:value="Rejected" int2:type="LegacyProofing"/>
    </int2:bookmark>
    <int2:bookmark int2:bookmarkName="_Int_gDFB46CO" int2:invalidationBookmarkName="" int2:hashCode="X55YArurxx+Sdf" int2:id="uF1j8JyZ">
      <int2:state int2:value="Rejected" int2:type="LegacyProofing"/>
    </int2:bookmark>
    <int2:bookmark int2:bookmarkName="_Int_GF8yttRQ" int2:invalidationBookmarkName="" int2:hashCode="eUfpLjyOSdhakw" int2:id="ubKMbu4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7A4"/>
    <w:multiLevelType w:val="hybridMultilevel"/>
    <w:tmpl w:val="255EF784"/>
    <w:lvl w:ilvl="0" w:tplc="37E0F2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9431A"/>
    <w:multiLevelType w:val="hybridMultilevel"/>
    <w:tmpl w:val="DA8A9AB0"/>
    <w:lvl w:ilvl="0" w:tplc="BC9C4504">
      <w:start w:val="1"/>
      <w:numFmt w:val="decimal"/>
      <w:lvlText w:val="%1."/>
      <w:lvlJc w:val="left"/>
      <w:pPr>
        <w:ind w:left="1020" w:hanging="360"/>
      </w:pPr>
    </w:lvl>
    <w:lvl w:ilvl="1" w:tplc="14C04D16">
      <w:start w:val="1"/>
      <w:numFmt w:val="decimal"/>
      <w:lvlText w:val="%2."/>
      <w:lvlJc w:val="left"/>
      <w:pPr>
        <w:ind w:left="1020" w:hanging="360"/>
      </w:pPr>
    </w:lvl>
    <w:lvl w:ilvl="2" w:tplc="D6680472">
      <w:start w:val="1"/>
      <w:numFmt w:val="decimal"/>
      <w:lvlText w:val="%3."/>
      <w:lvlJc w:val="left"/>
      <w:pPr>
        <w:ind w:left="1020" w:hanging="360"/>
      </w:pPr>
    </w:lvl>
    <w:lvl w:ilvl="3" w:tplc="DFECEAD2">
      <w:start w:val="1"/>
      <w:numFmt w:val="decimal"/>
      <w:lvlText w:val="%4."/>
      <w:lvlJc w:val="left"/>
      <w:pPr>
        <w:ind w:left="1020" w:hanging="360"/>
      </w:pPr>
    </w:lvl>
    <w:lvl w:ilvl="4" w:tplc="3A18F658">
      <w:start w:val="1"/>
      <w:numFmt w:val="decimal"/>
      <w:lvlText w:val="%5."/>
      <w:lvlJc w:val="left"/>
      <w:pPr>
        <w:ind w:left="1020" w:hanging="360"/>
      </w:pPr>
    </w:lvl>
    <w:lvl w:ilvl="5" w:tplc="360614FA">
      <w:start w:val="1"/>
      <w:numFmt w:val="decimal"/>
      <w:lvlText w:val="%6."/>
      <w:lvlJc w:val="left"/>
      <w:pPr>
        <w:ind w:left="1020" w:hanging="360"/>
      </w:pPr>
    </w:lvl>
    <w:lvl w:ilvl="6" w:tplc="43C41FAC">
      <w:start w:val="1"/>
      <w:numFmt w:val="decimal"/>
      <w:lvlText w:val="%7."/>
      <w:lvlJc w:val="left"/>
      <w:pPr>
        <w:ind w:left="1020" w:hanging="360"/>
      </w:pPr>
    </w:lvl>
    <w:lvl w:ilvl="7" w:tplc="6FC2DD8C">
      <w:start w:val="1"/>
      <w:numFmt w:val="decimal"/>
      <w:lvlText w:val="%8."/>
      <w:lvlJc w:val="left"/>
      <w:pPr>
        <w:ind w:left="1020" w:hanging="360"/>
      </w:pPr>
    </w:lvl>
    <w:lvl w:ilvl="8" w:tplc="C7F46296">
      <w:start w:val="1"/>
      <w:numFmt w:val="decimal"/>
      <w:lvlText w:val="%9."/>
      <w:lvlJc w:val="left"/>
      <w:pPr>
        <w:ind w:left="1020" w:hanging="360"/>
      </w:pPr>
    </w:lvl>
  </w:abstractNum>
  <w:abstractNum w:abstractNumId="4"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A02FD8"/>
    <w:multiLevelType w:val="hybridMultilevel"/>
    <w:tmpl w:val="759C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202DA"/>
    <w:multiLevelType w:val="hybridMultilevel"/>
    <w:tmpl w:val="6DB8C7D2"/>
    <w:lvl w:ilvl="0" w:tplc="53707A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5099E"/>
    <w:multiLevelType w:val="hybridMultilevel"/>
    <w:tmpl w:val="2C2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D543B"/>
    <w:multiLevelType w:val="hybridMultilevel"/>
    <w:tmpl w:val="47E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23A90"/>
    <w:multiLevelType w:val="hybridMultilevel"/>
    <w:tmpl w:val="A7BA11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4000940"/>
    <w:multiLevelType w:val="hybridMultilevel"/>
    <w:tmpl w:val="FA1C9E38"/>
    <w:lvl w:ilvl="0" w:tplc="9A0687B6">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F53D3A"/>
    <w:multiLevelType w:val="hybridMultilevel"/>
    <w:tmpl w:val="FAA8AF10"/>
    <w:lvl w:ilvl="0" w:tplc="73B2DFFE">
      <w:start w:val="1"/>
      <w:numFmt w:val="decimal"/>
      <w:lvlText w:val="%1."/>
      <w:lvlJc w:val="left"/>
      <w:pPr>
        <w:ind w:left="720" w:hanging="360"/>
      </w:pPr>
      <w:rPr>
        <w:rFonts w:ascii="Arial" w:eastAsia="Arial"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6DD46D6"/>
    <w:multiLevelType w:val="hybridMultilevel"/>
    <w:tmpl w:val="74F0B608"/>
    <w:lvl w:ilvl="0" w:tplc="30E40C18">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43246B"/>
    <w:multiLevelType w:val="hybridMultilevel"/>
    <w:tmpl w:val="C61811A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0C70D5"/>
    <w:multiLevelType w:val="hybridMultilevel"/>
    <w:tmpl w:val="C876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062566"/>
    <w:multiLevelType w:val="hybridMultilevel"/>
    <w:tmpl w:val="FD786EB8"/>
    <w:lvl w:ilvl="0" w:tplc="F2008A58">
      <w:start w:val="1"/>
      <w:numFmt w:val="decimal"/>
      <w:lvlText w:val="%1."/>
      <w:lvlJc w:val="left"/>
      <w:pPr>
        <w:ind w:left="1020" w:hanging="360"/>
      </w:pPr>
    </w:lvl>
    <w:lvl w:ilvl="1" w:tplc="EF205038">
      <w:start w:val="1"/>
      <w:numFmt w:val="decimal"/>
      <w:lvlText w:val="%2."/>
      <w:lvlJc w:val="left"/>
      <w:pPr>
        <w:ind w:left="1020" w:hanging="360"/>
      </w:pPr>
    </w:lvl>
    <w:lvl w:ilvl="2" w:tplc="08DAE0D2">
      <w:start w:val="1"/>
      <w:numFmt w:val="decimal"/>
      <w:lvlText w:val="%3."/>
      <w:lvlJc w:val="left"/>
      <w:pPr>
        <w:ind w:left="1020" w:hanging="360"/>
      </w:pPr>
    </w:lvl>
    <w:lvl w:ilvl="3" w:tplc="8D72CA26">
      <w:start w:val="1"/>
      <w:numFmt w:val="decimal"/>
      <w:lvlText w:val="%4."/>
      <w:lvlJc w:val="left"/>
      <w:pPr>
        <w:ind w:left="1020" w:hanging="360"/>
      </w:pPr>
    </w:lvl>
    <w:lvl w:ilvl="4" w:tplc="B7FA7B94">
      <w:start w:val="1"/>
      <w:numFmt w:val="decimal"/>
      <w:lvlText w:val="%5."/>
      <w:lvlJc w:val="left"/>
      <w:pPr>
        <w:ind w:left="1020" w:hanging="360"/>
      </w:pPr>
    </w:lvl>
    <w:lvl w:ilvl="5" w:tplc="3DAA3452">
      <w:start w:val="1"/>
      <w:numFmt w:val="decimal"/>
      <w:lvlText w:val="%6."/>
      <w:lvlJc w:val="left"/>
      <w:pPr>
        <w:ind w:left="1020" w:hanging="360"/>
      </w:pPr>
    </w:lvl>
    <w:lvl w:ilvl="6" w:tplc="97E6F918">
      <w:start w:val="1"/>
      <w:numFmt w:val="decimal"/>
      <w:lvlText w:val="%7."/>
      <w:lvlJc w:val="left"/>
      <w:pPr>
        <w:ind w:left="1020" w:hanging="360"/>
      </w:pPr>
    </w:lvl>
    <w:lvl w:ilvl="7" w:tplc="911EC984">
      <w:start w:val="1"/>
      <w:numFmt w:val="decimal"/>
      <w:lvlText w:val="%8."/>
      <w:lvlJc w:val="left"/>
      <w:pPr>
        <w:ind w:left="1020" w:hanging="360"/>
      </w:pPr>
    </w:lvl>
    <w:lvl w:ilvl="8" w:tplc="4906F5BA">
      <w:start w:val="1"/>
      <w:numFmt w:val="decimal"/>
      <w:lvlText w:val="%9."/>
      <w:lvlJc w:val="left"/>
      <w:pPr>
        <w:ind w:left="1020" w:hanging="360"/>
      </w:pPr>
    </w:lvl>
  </w:abstractNum>
  <w:abstractNum w:abstractNumId="18" w15:restartNumberingAfterBreak="0">
    <w:nsid w:val="2BD552DD"/>
    <w:multiLevelType w:val="hybridMultilevel"/>
    <w:tmpl w:val="55CE31DE"/>
    <w:lvl w:ilvl="0" w:tplc="5D783552">
      <w:start w:val="1"/>
      <w:numFmt w:val="bullet"/>
      <w:lvlText w:val=""/>
      <w:lvlJc w:val="left"/>
      <w:pPr>
        <w:tabs>
          <w:tab w:val="num" w:pos="720"/>
        </w:tabs>
        <w:ind w:left="720" w:hanging="360"/>
      </w:pPr>
      <w:rPr>
        <w:rFonts w:ascii="Symbol" w:hAnsi="Symbol" w:hint="default"/>
      </w:rPr>
    </w:lvl>
    <w:lvl w:ilvl="1" w:tplc="DFBA8F98" w:tentative="1">
      <w:start w:val="1"/>
      <w:numFmt w:val="bullet"/>
      <w:lvlText w:val=""/>
      <w:lvlJc w:val="left"/>
      <w:pPr>
        <w:tabs>
          <w:tab w:val="num" w:pos="1440"/>
        </w:tabs>
        <w:ind w:left="1440" w:hanging="360"/>
      </w:pPr>
      <w:rPr>
        <w:rFonts w:ascii="Symbol" w:hAnsi="Symbol" w:hint="default"/>
      </w:rPr>
    </w:lvl>
    <w:lvl w:ilvl="2" w:tplc="67EC5110" w:tentative="1">
      <w:start w:val="1"/>
      <w:numFmt w:val="bullet"/>
      <w:lvlText w:val=""/>
      <w:lvlJc w:val="left"/>
      <w:pPr>
        <w:tabs>
          <w:tab w:val="num" w:pos="2160"/>
        </w:tabs>
        <w:ind w:left="2160" w:hanging="360"/>
      </w:pPr>
      <w:rPr>
        <w:rFonts w:ascii="Symbol" w:hAnsi="Symbol" w:hint="default"/>
      </w:rPr>
    </w:lvl>
    <w:lvl w:ilvl="3" w:tplc="68DE7AA4" w:tentative="1">
      <w:start w:val="1"/>
      <w:numFmt w:val="bullet"/>
      <w:lvlText w:val=""/>
      <w:lvlJc w:val="left"/>
      <w:pPr>
        <w:tabs>
          <w:tab w:val="num" w:pos="2880"/>
        </w:tabs>
        <w:ind w:left="2880" w:hanging="360"/>
      </w:pPr>
      <w:rPr>
        <w:rFonts w:ascii="Symbol" w:hAnsi="Symbol" w:hint="default"/>
      </w:rPr>
    </w:lvl>
    <w:lvl w:ilvl="4" w:tplc="7648258A" w:tentative="1">
      <w:start w:val="1"/>
      <w:numFmt w:val="bullet"/>
      <w:lvlText w:val=""/>
      <w:lvlJc w:val="left"/>
      <w:pPr>
        <w:tabs>
          <w:tab w:val="num" w:pos="3600"/>
        </w:tabs>
        <w:ind w:left="3600" w:hanging="360"/>
      </w:pPr>
      <w:rPr>
        <w:rFonts w:ascii="Symbol" w:hAnsi="Symbol" w:hint="default"/>
      </w:rPr>
    </w:lvl>
    <w:lvl w:ilvl="5" w:tplc="99A25C34" w:tentative="1">
      <w:start w:val="1"/>
      <w:numFmt w:val="bullet"/>
      <w:lvlText w:val=""/>
      <w:lvlJc w:val="left"/>
      <w:pPr>
        <w:tabs>
          <w:tab w:val="num" w:pos="4320"/>
        </w:tabs>
        <w:ind w:left="4320" w:hanging="360"/>
      </w:pPr>
      <w:rPr>
        <w:rFonts w:ascii="Symbol" w:hAnsi="Symbol" w:hint="default"/>
      </w:rPr>
    </w:lvl>
    <w:lvl w:ilvl="6" w:tplc="AE78AD26" w:tentative="1">
      <w:start w:val="1"/>
      <w:numFmt w:val="bullet"/>
      <w:lvlText w:val=""/>
      <w:lvlJc w:val="left"/>
      <w:pPr>
        <w:tabs>
          <w:tab w:val="num" w:pos="5040"/>
        </w:tabs>
        <w:ind w:left="5040" w:hanging="360"/>
      </w:pPr>
      <w:rPr>
        <w:rFonts w:ascii="Symbol" w:hAnsi="Symbol" w:hint="default"/>
      </w:rPr>
    </w:lvl>
    <w:lvl w:ilvl="7" w:tplc="1F8CAE4C" w:tentative="1">
      <w:start w:val="1"/>
      <w:numFmt w:val="bullet"/>
      <w:lvlText w:val=""/>
      <w:lvlJc w:val="left"/>
      <w:pPr>
        <w:tabs>
          <w:tab w:val="num" w:pos="5760"/>
        </w:tabs>
        <w:ind w:left="5760" w:hanging="360"/>
      </w:pPr>
      <w:rPr>
        <w:rFonts w:ascii="Symbol" w:hAnsi="Symbol" w:hint="default"/>
      </w:rPr>
    </w:lvl>
    <w:lvl w:ilvl="8" w:tplc="23945BA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C724589"/>
    <w:multiLevelType w:val="hybridMultilevel"/>
    <w:tmpl w:val="BEC2989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24709"/>
    <w:multiLevelType w:val="hybridMultilevel"/>
    <w:tmpl w:val="94E45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259F9"/>
    <w:multiLevelType w:val="hybridMultilevel"/>
    <w:tmpl w:val="C8E69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76188"/>
    <w:multiLevelType w:val="hybridMultilevel"/>
    <w:tmpl w:val="B70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45539"/>
    <w:multiLevelType w:val="hybridMultilevel"/>
    <w:tmpl w:val="4DE4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3A0BF5"/>
    <w:multiLevelType w:val="hybridMultilevel"/>
    <w:tmpl w:val="EB4443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0106E5A"/>
    <w:multiLevelType w:val="hybridMultilevel"/>
    <w:tmpl w:val="F1D2B3EE"/>
    <w:lvl w:ilvl="0" w:tplc="B59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3D2B29"/>
    <w:multiLevelType w:val="hybridMultilevel"/>
    <w:tmpl w:val="750E2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8"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C906536"/>
    <w:multiLevelType w:val="hybridMultilevel"/>
    <w:tmpl w:val="2460D218"/>
    <w:lvl w:ilvl="0" w:tplc="5DD635C8">
      <w:start w:val="1"/>
      <w:numFmt w:val="bullet"/>
      <w:lvlText w:val=""/>
      <w:lvlJc w:val="left"/>
      <w:pPr>
        <w:tabs>
          <w:tab w:val="num" w:pos="720"/>
        </w:tabs>
        <w:ind w:left="720" w:hanging="360"/>
      </w:pPr>
      <w:rPr>
        <w:rFonts w:ascii="Symbol" w:hAnsi="Symbol" w:hint="default"/>
      </w:rPr>
    </w:lvl>
    <w:lvl w:ilvl="1" w:tplc="C3508516" w:tentative="1">
      <w:start w:val="1"/>
      <w:numFmt w:val="bullet"/>
      <w:lvlText w:val=""/>
      <w:lvlJc w:val="left"/>
      <w:pPr>
        <w:tabs>
          <w:tab w:val="num" w:pos="1440"/>
        </w:tabs>
        <w:ind w:left="1440" w:hanging="360"/>
      </w:pPr>
      <w:rPr>
        <w:rFonts w:ascii="Symbol" w:hAnsi="Symbol" w:hint="default"/>
      </w:rPr>
    </w:lvl>
    <w:lvl w:ilvl="2" w:tplc="1298AD9A" w:tentative="1">
      <w:start w:val="1"/>
      <w:numFmt w:val="bullet"/>
      <w:lvlText w:val=""/>
      <w:lvlJc w:val="left"/>
      <w:pPr>
        <w:tabs>
          <w:tab w:val="num" w:pos="2160"/>
        </w:tabs>
        <w:ind w:left="2160" w:hanging="360"/>
      </w:pPr>
      <w:rPr>
        <w:rFonts w:ascii="Symbol" w:hAnsi="Symbol" w:hint="default"/>
      </w:rPr>
    </w:lvl>
    <w:lvl w:ilvl="3" w:tplc="7854C014" w:tentative="1">
      <w:start w:val="1"/>
      <w:numFmt w:val="bullet"/>
      <w:lvlText w:val=""/>
      <w:lvlJc w:val="left"/>
      <w:pPr>
        <w:tabs>
          <w:tab w:val="num" w:pos="2880"/>
        </w:tabs>
        <w:ind w:left="2880" w:hanging="360"/>
      </w:pPr>
      <w:rPr>
        <w:rFonts w:ascii="Symbol" w:hAnsi="Symbol" w:hint="default"/>
      </w:rPr>
    </w:lvl>
    <w:lvl w:ilvl="4" w:tplc="6F604D1A" w:tentative="1">
      <w:start w:val="1"/>
      <w:numFmt w:val="bullet"/>
      <w:lvlText w:val=""/>
      <w:lvlJc w:val="left"/>
      <w:pPr>
        <w:tabs>
          <w:tab w:val="num" w:pos="3600"/>
        </w:tabs>
        <w:ind w:left="3600" w:hanging="360"/>
      </w:pPr>
      <w:rPr>
        <w:rFonts w:ascii="Symbol" w:hAnsi="Symbol" w:hint="default"/>
      </w:rPr>
    </w:lvl>
    <w:lvl w:ilvl="5" w:tplc="2C4259A2" w:tentative="1">
      <w:start w:val="1"/>
      <w:numFmt w:val="bullet"/>
      <w:lvlText w:val=""/>
      <w:lvlJc w:val="left"/>
      <w:pPr>
        <w:tabs>
          <w:tab w:val="num" w:pos="4320"/>
        </w:tabs>
        <w:ind w:left="4320" w:hanging="360"/>
      </w:pPr>
      <w:rPr>
        <w:rFonts w:ascii="Symbol" w:hAnsi="Symbol" w:hint="default"/>
      </w:rPr>
    </w:lvl>
    <w:lvl w:ilvl="6" w:tplc="2DCEB9E2" w:tentative="1">
      <w:start w:val="1"/>
      <w:numFmt w:val="bullet"/>
      <w:lvlText w:val=""/>
      <w:lvlJc w:val="left"/>
      <w:pPr>
        <w:tabs>
          <w:tab w:val="num" w:pos="5040"/>
        </w:tabs>
        <w:ind w:left="5040" w:hanging="360"/>
      </w:pPr>
      <w:rPr>
        <w:rFonts w:ascii="Symbol" w:hAnsi="Symbol" w:hint="default"/>
      </w:rPr>
    </w:lvl>
    <w:lvl w:ilvl="7" w:tplc="C60C5292" w:tentative="1">
      <w:start w:val="1"/>
      <w:numFmt w:val="bullet"/>
      <w:lvlText w:val=""/>
      <w:lvlJc w:val="left"/>
      <w:pPr>
        <w:tabs>
          <w:tab w:val="num" w:pos="5760"/>
        </w:tabs>
        <w:ind w:left="5760" w:hanging="360"/>
      </w:pPr>
      <w:rPr>
        <w:rFonts w:ascii="Symbol" w:hAnsi="Symbol" w:hint="default"/>
      </w:rPr>
    </w:lvl>
    <w:lvl w:ilvl="8" w:tplc="2DE876C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1796126"/>
    <w:multiLevelType w:val="hybridMultilevel"/>
    <w:tmpl w:val="74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4B5C3E"/>
    <w:multiLevelType w:val="hybridMultilevel"/>
    <w:tmpl w:val="271487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2" w15:restartNumberingAfterBreak="0">
    <w:nsid w:val="561D465A"/>
    <w:multiLevelType w:val="hybridMultilevel"/>
    <w:tmpl w:val="FFFFFFFF"/>
    <w:lvl w:ilvl="0" w:tplc="5D8C43CA">
      <w:start w:val="1"/>
      <w:numFmt w:val="bullet"/>
      <w:lvlText w:val="-"/>
      <w:lvlJc w:val="left"/>
      <w:pPr>
        <w:ind w:left="720" w:hanging="360"/>
      </w:pPr>
      <w:rPr>
        <w:rFonts w:ascii="Calibri" w:hAnsi="Calibri" w:hint="default"/>
      </w:rPr>
    </w:lvl>
    <w:lvl w:ilvl="1" w:tplc="F9EA3E26">
      <w:start w:val="1"/>
      <w:numFmt w:val="bullet"/>
      <w:lvlText w:val="o"/>
      <w:lvlJc w:val="left"/>
      <w:pPr>
        <w:ind w:left="1440" w:hanging="360"/>
      </w:pPr>
      <w:rPr>
        <w:rFonts w:ascii="Courier New" w:hAnsi="Courier New" w:hint="default"/>
      </w:rPr>
    </w:lvl>
    <w:lvl w:ilvl="2" w:tplc="87ECFBB2">
      <w:start w:val="1"/>
      <w:numFmt w:val="bullet"/>
      <w:lvlText w:val=""/>
      <w:lvlJc w:val="left"/>
      <w:pPr>
        <w:ind w:left="2160" w:hanging="360"/>
      </w:pPr>
      <w:rPr>
        <w:rFonts w:ascii="Wingdings" w:hAnsi="Wingdings" w:hint="default"/>
      </w:rPr>
    </w:lvl>
    <w:lvl w:ilvl="3" w:tplc="81BA425E">
      <w:start w:val="1"/>
      <w:numFmt w:val="bullet"/>
      <w:lvlText w:val=""/>
      <w:lvlJc w:val="left"/>
      <w:pPr>
        <w:ind w:left="2880" w:hanging="360"/>
      </w:pPr>
      <w:rPr>
        <w:rFonts w:ascii="Symbol" w:hAnsi="Symbol" w:hint="default"/>
      </w:rPr>
    </w:lvl>
    <w:lvl w:ilvl="4" w:tplc="8608678A">
      <w:start w:val="1"/>
      <w:numFmt w:val="bullet"/>
      <w:lvlText w:val="o"/>
      <w:lvlJc w:val="left"/>
      <w:pPr>
        <w:ind w:left="3600" w:hanging="360"/>
      </w:pPr>
      <w:rPr>
        <w:rFonts w:ascii="Courier New" w:hAnsi="Courier New" w:hint="default"/>
      </w:rPr>
    </w:lvl>
    <w:lvl w:ilvl="5" w:tplc="A77CEE6C">
      <w:start w:val="1"/>
      <w:numFmt w:val="bullet"/>
      <w:lvlText w:val=""/>
      <w:lvlJc w:val="left"/>
      <w:pPr>
        <w:ind w:left="4320" w:hanging="360"/>
      </w:pPr>
      <w:rPr>
        <w:rFonts w:ascii="Wingdings" w:hAnsi="Wingdings" w:hint="default"/>
      </w:rPr>
    </w:lvl>
    <w:lvl w:ilvl="6" w:tplc="368E7110">
      <w:start w:val="1"/>
      <w:numFmt w:val="bullet"/>
      <w:lvlText w:val=""/>
      <w:lvlJc w:val="left"/>
      <w:pPr>
        <w:ind w:left="5040" w:hanging="360"/>
      </w:pPr>
      <w:rPr>
        <w:rFonts w:ascii="Symbol" w:hAnsi="Symbol" w:hint="default"/>
      </w:rPr>
    </w:lvl>
    <w:lvl w:ilvl="7" w:tplc="E9CE2B30">
      <w:start w:val="1"/>
      <w:numFmt w:val="bullet"/>
      <w:lvlText w:val="o"/>
      <w:lvlJc w:val="left"/>
      <w:pPr>
        <w:ind w:left="5760" w:hanging="360"/>
      </w:pPr>
      <w:rPr>
        <w:rFonts w:ascii="Courier New" w:hAnsi="Courier New" w:hint="default"/>
      </w:rPr>
    </w:lvl>
    <w:lvl w:ilvl="8" w:tplc="3282F5DC">
      <w:start w:val="1"/>
      <w:numFmt w:val="bullet"/>
      <w:lvlText w:val=""/>
      <w:lvlJc w:val="left"/>
      <w:pPr>
        <w:ind w:left="6480" w:hanging="360"/>
      </w:pPr>
      <w:rPr>
        <w:rFonts w:ascii="Wingdings" w:hAnsi="Wingdings" w:hint="default"/>
      </w:rPr>
    </w:lvl>
  </w:abstractNum>
  <w:abstractNum w:abstractNumId="33" w15:restartNumberingAfterBreak="0">
    <w:nsid w:val="566C2852"/>
    <w:multiLevelType w:val="multilevel"/>
    <w:tmpl w:val="109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982B6D"/>
    <w:multiLevelType w:val="hybridMultilevel"/>
    <w:tmpl w:val="5906CD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AB94140"/>
    <w:multiLevelType w:val="hybridMultilevel"/>
    <w:tmpl w:val="E47CF06C"/>
    <w:lvl w:ilvl="0" w:tplc="FF4EF8AA">
      <w:start w:val="1"/>
      <w:numFmt w:val="bullet"/>
      <w:lvlText w:val=""/>
      <w:lvlJc w:val="left"/>
      <w:pPr>
        <w:tabs>
          <w:tab w:val="num" w:pos="720"/>
        </w:tabs>
        <w:ind w:left="720" w:hanging="360"/>
      </w:pPr>
      <w:rPr>
        <w:rFonts w:ascii="Symbol" w:hAnsi="Symbol" w:hint="default"/>
      </w:rPr>
    </w:lvl>
    <w:lvl w:ilvl="1" w:tplc="5E428B9A" w:tentative="1">
      <w:start w:val="1"/>
      <w:numFmt w:val="bullet"/>
      <w:lvlText w:val=""/>
      <w:lvlJc w:val="left"/>
      <w:pPr>
        <w:tabs>
          <w:tab w:val="num" w:pos="1440"/>
        </w:tabs>
        <w:ind w:left="1440" w:hanging="360"/>
      </w:pPr>
      <w:rPr>
        <w:rFonts w:ascii="Symbol" w:hAnsi="Symbol" w:hint="default"/>
      </w:rPr>
    </w:lvl>
    <w:lvl w:ilvl="2" w:tplc="17F0A650" w:tentative="1">
      <w:start w:val="1"/>
      <w:numFmt w:val="bullet"/>
      <w:lvlText w:val=""/>
      <w:lvlJc w:val="left"/>
      <w:pPr>
        <w:tabs>
          <w:tab w:val="num" w:pos="2160"/>
        </w:tabs>
        <w:ind w:left="2160" w:hanging="360"/>
      </w:pPr>
      <w:rPr>
        <w:rFonts w:ascii="Symbol" w:hAnsi="Symbol" w:hint="default"/>
      </w:rPr>
    </w:lvl>
    <w:lvl w:ilvl="3" w:tplc="DE1EA962" w:tentative="1">
      <w:start w:val="1"/>
      <w:numFmt w:val="bullet"/>
      <w:lvlText w:val=""/>
      <w:lvlJc w:val="left"/>
      <w:pPr>
        <w:tabs>
          <w:tab w:val="num" w:pos="2880"/>
        </w:tabs>
        <w:ind w:left="2880" w:hanging="360"/>
      </w:pPr>
      <w:rPr>
        <w:rFonts w:ascii="Symbol" w:hAnsi="Symbol" w:hint="default"/>
      </w:rPr>
    </w:lvl>
    <w:lvl w:ilvl="4" w:tplc="9DBA71DC" w:tentative="1">
      <w:start w:val="1"/>
      <w:numFmt w:val="bullet"/>
      <w:lvlText w:val=""/>
      <w:lvlJc w:val="left"/>
      <w:pPr>
        <w:tabs>
          <w:tab w:val="num" w:pos="3600"/>
        </w:tabs>
        <w:ind w:left="3600" w:hanging="360"/>
      </w:pPr>
      <w:rPr>
        <w:rFonts w:ascii="Symbol" w:hAnsi="Symbol" w:hint="default"/>
      </w:rPr>
    </w:lvl>
    <w:lvl w:ilvl="5" w:tplc="A1C227AA" w:tentative="1">
      <w:start w:val="1"/>
      <w:numFmt w:val="bullet"/>
      <w:lvlText w:val=""/>
      <w:lvlJc w:val="left"/>
      <w:pPr>
        <w:tabs>
          <w:tab w:val="num" w:pos="4320"/>
        </w:tabs>
        <w:ind w:left="4320" w:hanging="360"/>
      </w:pPr>
      <w:rPr>
        <w:rFonts w:ascii="Symbol" w:hAnsi="Symbol" w:hint="default"/>
      </w:rPr>
    </w:lvl>
    <w:lvl w:ilvl="6" w:tplc="2CC8794A" w:tentative="1">
      <w:start w:val="1"/>
      <w:numFmt w:val="bullet"/>
      <w:lvlText w:val=""/>
      <w:lvlJc w:val="left"/>
      <w:pPr>
        <w:tabs>
          <w:tab w:val="num" w:pos="5040"/>
        </w:tabs>
        <w:ind w:left="5040" w:hanging="360"/>
      </w:pPr>
      <w:rPr>
        <w:rFonts w:ascii="Symbol" w:hAnsi="Symbol" w:hint="default"/>
      </w:rPr>
    </w:lvl>
    <w:lvl w:ilvl="7" w:tplc="A66C2836" w:tentative="1">
      <w:start w:val="1"/>
      <w:numFmt w:val="bullet"/>
      <w:lvlText w:val=""/>
      <w:lvlJc w:val="left"/>
      <w:pPr>
        <w:tabs>
          <w:tab w:val="num" w:pos="5760"/>
        </w:tabs>
        <w:ind w:left="5760" w:hanging="360"/>
      </w:pPr>
      <w:rPr>
        <w:rFonts w:ascii="Symbol" w:hAnsi="Symbol" w:hint="default"/>
      </w:rPr>
    </w:lvl>
    <w:lvl w:ilvl="8" w:tplc="02D281F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660B8F"/>
    <w:multiLevelType w:val="hybridMultilevel"/>
    <w:tmpl w:val="4C2ED8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2384F9A"/>
    <w:multiLevelType w:val="hybridMultilevel"/>
    <w:tmpl w:val="820473FC"/>
    <w:lvl w:ilvl="0" w:tplc="754680D2">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5C1E04"/>
    <w:multiLevelType w:val="hybridMultilevel"/>
    <w:tmpl w:val="7FD0E1A2"/>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B6039D"/>
    <w:multiLevelType w:val="hybridMultilevel"/>
    <w:tmpl w:val="7BD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6B7238BB"/>
    <w:multiLevelType w:val="hybridMultilevel"/>
    <w:tmpl w:val="18C816A2"/>
    <w:lvl w:ilvl="0" w:tplc="66EA8670">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CE1001"/>
    <w:multiLevelType w:val="hybridMultilevel"/>
    <w:tmpl w:val="2FCC16DA"/>
    <w:lvl w:ilvl="0" w:tplc="21F622E0">
      <w:start w:val="1"/>
      <w:numFmt w:val="upperLetter"/>
      <w:lvlText w:val="%1."/>
      <w:lvlJc w:val="left"/>
      <w:pPr>
        <w:ind w:left="1080" w:hanging="360"/>
      </w:pPr>
    </w:lvl>
    <w:lvl w:ilvl="1" w:tplc="5D5E5DCA">
      <w:start w:val="1"/>
      <w:numFmt w:val="upperLetter"/>
      <w:lvlText w:val="%2."/>
      <w:lvlJc w:val="left"/>
      <w:pPr>
        <w:ind w:left="1080" w:hanging="360"/>
      </w:pPr>
    </w:lvl>
    <w:lvl w:ilvl="2" w:tplc="7E16ADC6">
      <w:start w:val="1"/>
      <w:numFmt w:val="upperLetter"/>
      <w:lvlText w:val="%3."/>
      <w:lvlJc w:val="left"/>
      <w:pPr>
        <w:ind w:left="1080" w:hanging="360"/>
      </w:pPr>
    </w:lvl>
    <w:lvl w:ilvl="3" w:tplc="32DC8EBC">
      <w:start w:val="1"/>
      <w:numFmt w:val="upperLetter"/>
      <w:lvlText w:val="%4."/>
      <w:lvlJc w:val="left"/>
      <w:pPr>
        <w:ind w:left="1080" w:hanging="360"/>
      </w:pPr>
    </w:lvl>
    <w:lvl w:ilvl="4" w:tplc="36FE05B6">
      <w:start w:val="1"/>
      <w:numFmt w:val="upperLetter"/>
      <w:lvlText w:val="%5."/>
      <w:lvlJc w:val="left"/>
      <w:pPr>
        <w:ind w:left="1080" w:hanging="360"/>
      </w:pPr>
    </w:lvl>
    <w:lvl w:ilvl="5" w:tplc="8208DAD6">
      <w:start w:val="1"/>
      <w:numFmt w:val="upperLetter"/>
      <w:lvlText w:val="%6."/>
      <w:lvlJc w:val="left"/>
      <w:pPr>
        <w:ind w:left="1080" w:hanging="360"/>
      </w:pPr>
    </w:lvl>
    <w:lvl w:ilvl="6" w:tplc="BD3E7DEE">
      <w:start w:val="1"/>
      <w:numFmt w:val="upperLetter"/>
      <w:lvlText w:val="%7."/>
      <w:lvlJc w:val="left"/>
      <w:pPr>
        <w:ind w:left="1080" w:hanging="360"/>
      </w:pPr>
    </w:lvl>
    <w:lvl w:ilvl="7" w:tplc="A41C3E48">
      <w:start w:val="1"/>
      <w:numFmt w:val="upperLetter"/>
      <w:lvlText w:val="%8."/>
      <w:lvlJc w:val="left"/>
      <w:pPr>
        <w:ind w:left="1080" w:hanging="360"/>
      </w:pPr>
    </w:lvl>
    <w:lvl w:ilvl="8" w:tplc="D07488DA">
      <w:start w:val="1"/>
      <w:numFmt w:val="upperLetter"/>
      <w:lvlText w:val="%9."/>
      <w:lvlJc w:val="left"/>
      <w:pPr>
        <w:ind w:left="1080" w:hanging="360"/>
      </w:pPr>
    </w:lvl>
  </w:abstractNum>
  <w:abstractNum w:abstractNumId="47"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C931163"/>
    <w:multiLevelType w:val="hybridMultilevel"/>
    <w:tmpl w:val="73EA4F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50" w15:restartNumberingAfterBreak="0">
    <w:nsid w:val="7241787E"/>
    <w:multiLevelType w:val="hybridMultilevel"/>
    <w:tmpl w:val="EE0AA534"/>
    <w:lvl w:ilvl="0" w:tplc="E122991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1" w15:restartNumberingAfterBreak="0">
    <w:nsid w:val="74B232EE"/>
    <w:multiLevelType w:val="hybridMultilevel"/>
    <w:tmpl w:val="3E2A2BFE"/>
    <w:lvl w:ilvl="0" w:tplc="3B20A00A">
      <w:start w:val="1"/>
      <w:numFmt w:val="bullet"/>
      <w:lvlText w:val=""/>
      <w:lvlJc w:val="left"/>
      <w:pPr>
        <w:tabs>
          <w:tab w:val="num" w:pos="720"/>
        </w:tabs>
        <w:ind w:left="720" w:hanging="360"/>
      </w:pPr>
      <w:rPr>
        <w:rFonts w:ascii="Symbol" w:hAnsi="Symbol" w:hint="default"/>
      </w:rPr>
    </w:lvl>
    <w:lvl w:ilvl="1" w:tplc="377612BC" w:tentative="1">
      <w:start w:val="1"/>
      <w:numFmt w:val="bullet"/>
      <w:lvlText w:val=""/>
      <w:lvlJc w:val="left"/>
      <w:pPr>
        <w:tabs>
          <w:tab w:val="num" w:pos="1440"/>
        </w:tabs>
        <w:ind w:left="1440" w:hanging="360"/>
      </w:pPr>
      <w:rPr>
        <w:rFonts w:ascii="Symbol" w:hAnsi="Symbol" w:hint="default"/>
      </w:rPr>
    </w:lvl>
    <w:lvl w:ilvl="2" w:tplc="38C2ED7A" w:tentative="1">
      <w:start w:val="1"/>
      <w:numFmt w:val="bullet"/>
      <w:lvlText w:val=""/>
      <w:lvlJc w:val="left"/>
      <w:pPr>
        <w:tabs>
          <w:tab w:val="num" w:pos="2160"/>
        </w:tabs>
        <w:ind w:left="2160" w:hanging="360"/>
      </w:pPr>
      <w:rPr>
        <w:rFonts w:ascii="Symbol" w:hAnsi="Symbol" w:hint="default"/>
      </w:rPr>
    </w:lvl>
    <w:lvl w:ilvl="3" w:tplc="1E089AC8" w:tentative="1">
      <w:start w:val="1"/>
      <w:numFmt w:val="bullet"/>
      <w:lvlText w:val=""/>
      <w:lvlJc w:val="left"/>
      <w:pPr>
        <w:tabs>
          <w:tab w:val="num" w:pos="2880"/>
        </w:tabs>
        <w:ind w:left="2880" w:hanging="360"/>
      </w:pPr>
      <w:rPr>
        <w:rFonts w:ascii="Symbol" w:hAnsi="Symbol" w:hint="default"/>
      </w:rPr>
    </w:lvl>
    <w:lvl w:ilvl="4" w:tplc="9488D4B4" w:tentative="1">
      <w:start w:val="1"/>
      <w:numFmt w:val="bullet"/>
      <w:lvlText w:val=""/>
      <w:lvlJc w:val="left"/>
      <w:pPr>
        <w:tabs>
          <w:tab w:val="num" w:pos="3600"/>
        </w:tabs>
        <w:ind w:left="3600" w:hanging="360"/>
      </w:pPr>
      <w:rPr>
        <w:rFonts w:ascii="Symbol" w:hAnsi="Symbol" w:hint="default"/>
      </w:rPr>
    </w:lvl>
    <w:lvl w:ilvl="5" w:tplc="7F323A92" w:tentative="1">
      <w:start w:val="1"/>
      <w:numFmt w:val="bullet"/>
      <w:lvlText w:val=""/>
      <w:lvlJc w:val="left"/>
      <w:pPr>
        <w:tabs>
          <w:tab w:val="num" w:pos="4320"/>
        </w:tabs>
        <w:ind w:left="4320" w:hanging="360"/>
      </w:pPr>
      <w:rPr>
        <w:rFonts w:ascii="Symbol" w:hAnsi="Symbol" w:hint="default"/>
      </w:rPr>
    </w:lvl>
    <w:lvl w:ilvl="6" w:tplc="6B10A188" w:tentative="1">
      <w:start w:val="1"/>
      <w:numFmt w:val="bullet"/>
      <w:lvlText w:val=""/>
      <w:lvlJc w:val="left"/>
      <w:pPr>
        <w:tabs>
          <w:tab w:val="num" w:pos="5040"/>
        </w:tabs>
        <w:ind w:left="5040" w:hanging="360"/>
      </w:pPr>
      <w:rPr>
        <w:rFonts w:ascii="Symbol" w:hAnsi="Symbol" w:hint="default"/>
      </w:rPr>
    </w:lvl>
    <w:lvl w:ilvl="7" w:tplc="5B22918E" w:tentative="1">
      <w:start w:val="1"/>
      <w:numFmt w:val="bullet"/>
      <w:lvlText w:val=""/>
      <w:lvlJc w:val="left"/>
      <w:pPr>
        <w:tabs>
          <w:tab w:val="num" w:pos="5760"/>
        </w:tabs>
        <w:ind w:left="5760" w:hanging="360"/>
      </w:pPr>
      <w:rPr>
        <w:rFonts w:ascii="Symbol" w:hAnsi="Symbol" w:hint="default"/>
      </w:rPr>
    </w:lvl>
    <w:lvl w:ilvl="8" w:tplc="8FCE3BC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9156D1B"/>
    <w:multiLevelType w:val="hybridMultilevel"/>
    <w:tmpl w:val="0B9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237F89"/>
    <w:multiLevelType w:val="hybridMultilevel"/>
    <w:tmpl w:val="19B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6E095A"/>
    <w:multiLevelType w:val="hybridMultilevel"/>
    <w:tmpl w:val="06C02F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D1D0D82"/>
    <w:multiLevelType w:val="hybridMultilevel"/>
    <w:tmpl w:val="D6925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2F7245"/>
    <w:multiLevelType w:val="hybridMultilevel"/>
    <w:tmpl w:val="FAFC21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5055443">
    <w:abstractNumId w:val="4"/>
  </w:num>
  <w:num w:numId="2" w16cid:durableId="1597710933">
    <w:abstractNumId w:val="27"/>
  </w:num>
  <w:num w:numId="3" w16cid:durableId="1633363050">
    <w:abstractNumId w:val="41"/>
  </w:num>
  <w:num w:numId="4" w16cid:durableId="822506869">
    <w:abstractNumId w:val="47"/>
  </w:num>
  <w:num w:numId="5" w16cid:durableId="1308709627">
    <w:abstractNumId w:val="43"/>
  </w:num>
  <w:num w:numId="6" w16cid:durableId="855771709">
    <w:abstractNumId w:val="7"/>
  </w:num>
  <w:num w:numId="7" w16cid:durableId="1775590022">
    <w:abstractNumId w:val="36"/>
  </w:num>
  <w:num w:numId="8" w16cid:durableId="520125203">
    <w:abstractNumId w:val="40"/>
  </w:num>
  <w:num w:numId="9" w16cid:durableId="1355762011">
    <w:abstractNumId w:val="20"/>
  </w:num>
  <w:num w:numId="10" w16cid:durableId="1704593861">
    <w:abstractNumId w:val="35"/>
  </w:num>
  <w:num w:numId="11" w16cid:durableId="84957126">
    <w:abstractNumId w:val="29"/>
  </w:num>
  <w:num w:numId="12" w16cid:durableId="435642469">
    <w:abstractNumId w:val="18"/>
  </w:num>
  <w:num w:numId="13" w16cid:durableId="991758076">
    <w:abstractNumId w:val="51"/>
  </w:num>
  <w:num w:numId="14" w16cid:durableId="270208781">
    <w:abstractNumId w:val="8"/>
  </w:num>
  <w:num w:numId="15" w16cid:durableId="145324465">
    <w:abstractNumId w:val="52"/>
  </w:num>
  <w:num w:numId="16" w16cid:durableId="1415928646">
    <w:abstractNumId w:val="53"/>
  </w:num>
  <w:num w:numId="17" w16cid:durableId="1695888451">
    <w:abstractNumId w:val="22"/>
  </w:num>
  <w:num w:numId="18" w16cid:durableId="991636074">
    <w:abstractNumId w:val="9"/>
  </w:num>
  <w:num w:numId="19" w16cid:durableId="1916165075">
    <w:abstractNumId w:val="13"/>
  </w:num>
  <w:num w:numId="20" w16cid:durableId="1808623592">
    <w:abstractNumId w:val="28"/>
  </w:num>
  <w:num w:numId="21" w16cid:durableId="1821842958">
    <w:abstractNumId w:val="44"/>
  </w:num>
  <w:num w:numId="22" w16cid:durableId="707221904">
    <w:abstractNumId w:val="34"/>
  </w:num>
  <w:num w:numId="23" w16cid:durableId="972102236">
    <w:abstractNumId w:val="42"/>
  </w:num>
  <w:num w:numId="24" w16cid:durableId="1721368802">
    <w:abstractNumId w:val="1"/>
  </w:num>
  <w:num w:numId="25" w16cid:durableId="1922448361">
    <w:abstractNumId w:val="50"/>
  </w:num>
  <w:num w:numId="26" w16cid:durableId="994844022">
    <w:abstractNumId w:val="12"/>
  </w:num>
  <w:num w:numId="27" w16cid:durableId="113594725">
    <w:abstractNumId w:val="30"/>
  </w:num>
  <w:num w:numId="28" w16cid:durableId="380783927">
    <w:abstractNumId w:val="33"/>
  </w:num>
  <w:num w:numId="29" w16cid:durableId="1909487832">
    <w:abstractNumId w:val="24"/>
  </w:num>
  <w:num w:numId="30" w16cid:durableId="939409040">
    <w:abstractNumId w:val="48"/>
  </w:num>
  <w:num w:numId="31" w16cid:durableId="876967123">
    <w:abstractNumId w:val="25"/>
  </w:num>
  <w:num w:numId="32" w16cid:durableId="233901843">
    <w:abstractNumId w:val="6"/>
  </w:num>
  <w:num w:numId="33" w16cid:durableId="2030327349">
    <w:abstractNumId w:val="2"/>
  </w:num>
  <w:num w:numId="34" w16cid:durableId="2034450231">
    <w:abstractNumId w:val="0"/>
  </w:num>
  <w:num w:numId="35" w16cid:durableId="1661225285">
    <w:abstractNumId w:val="19"/>
  </w:num>
  <w:num w:numId="36" w16cid:durableId="391777721">
    <w:abstractNumId w:val="21"/>
  </w:num>
  <w:num w:numId="37" w16cid:durableId="374162408">
    <w:abstractNumId w:val="55"/>
  </w:num>
  <w:num w:numId="38" w16cid:durableId="510991365">
    <w:abstractNumId w:val="41"/>
  </w:num>
  <w:num w:numId="39" w16cid:durableId="930896471">
    <w:abstractNumId w:val="32"/>
  </w:num>
  <w:num w:numId="40" w16cid:durableId="2061896304">
    <w:abstractNumId w:val="37"/>
  </w:num>
  <w:num w:numId="41" w16cid:durableId="781264832">
    <w:abstractNumId w:val="16"/>
  </w:num>
  <w:num w:numId="42" w16cid:durableId="409082590">
    <w:abstractNumId w:val="15"/>
  </w:num>
  <w:num w:numId="43" w16cid:durableId="803550050">
    <w:abstractNumId w:val="10"/>
  </w:num>
  <w:num w:numId="44" w16cid:durableId="1659963219">
    <w:abstractNumId w:val="49"/>
  </w:num>
  <w:num w:numId="45" w16cid:durableId="1146241296">
    <w:abstractNumId w:val="38"/>
  </w:num>
  <w:num w:numId="46" w16cid:durableId="717316527">
    <w:abstractNumId w:val="45"/>
  </w:num>
  <w:num w:numId="47" w16cid:durableId="285737111">
    <w:abstractNumId w:val="11"/>
  </w:num>
  <w:num w:numId="48" w16cid:durableId="1364019440">
    <w:abstractNumId w:val="17"/>
  </w:num>
  <w:num w:numId="49" w16cid:durableId="1467813485">
    <w:abstractNumId w:val="3"/>
  </w:num>
  <w:num w:numId="50" w16cid:durableId="608705607">
    <w:abstractNumId w:val="54"/>
  </w:num>
  <w:num w:numId="51" w16cid:durableId="2058971340">
    <w:abstractNumId w:val="14"/>
  </w:num>
  <w:num w:numId="52" w16cid:durableId="1237323364">
    <w:abstractNumId w:val="39"/>
  </w:num>
  <w:num w:numId="53" w16cid:durableId="1602252353">
    <w:abstractNumId w:val="56"/>
  </w:num>
  <w:num w:numId="54" w16cid:durableId="960456798">
    <w:abstractNumId w:val="46"/>
  </w:num>
  <w:num w:numId="55" w16cid:durableId="794173827">
    <w:abstractNumId w:val="31"/>
  </w:num>
  <w:num w:numId="56" w16cid:durableId="853616255">
    <w:abstractNumId w:val="5"/>
  </w:num>
  <w:num w:numId="57" w16cid:durableId="1892115277">
    <w:abstractNumId w:val="26"/>
  </w:num>
  <w:num w:numId="58" w16cid:durableId="838040882">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5E7"/>
    <w:rsid w:val="00000CF6"/>
    <w:rsid w:val="00001566"/>
    <w:rsid w:val="00002150"/>
    <w:rsid w:val="00002454"/>
    <w:rsid w:val="00002976"/>
    <w:rsid w:val="00003430"/>
    <w:rsid w:val="0000355F"/>
    <w:rsid w:val="000036DA"/>
    <w:rsid w:val="00003907"/>
    <w:rsid w:val="00003BB2"/>
    <w:rsid w:val="00003BF4"/>
    <w:rsid w:val="00003D9E"/>
    <w:rsid w:val="000043D8"/>
    <w:rsid w:val="00004CB6"/>
    <w:rsid w:val="00005411"/>
    <w:rsid w:val="00005535"/>
    <w:rsid w:val="00005901"/>
    <w:rsid w:val="00005CCF"/>
    <w:rsid w:val="00006173"/>
    <w:rsid w:val="0000620B"/>
    <w:rsid w:val="00006370"/>
    <w:rsid w:val="00006472"/>
    <w:rsid w:val="0000655B"/>
    <w:rsid w:val="0000660B"/>
    <w:rsid w:val="00006B58"/>
    <w:rsid w:val="00006E84"/>
    <w:rsid w:val="00007231"/>
    <w:rsid w:val="00007399"/>
    <w:rsid w:val="000073D9"/>
    <w:rsid w:val="000074BC"/>
    <w:rsid w:val="00007D6E"/>
    <w:rsid w:val="00007DDD"/>
    <w:rsid w:val="00010001"/>
    <w:rsid w:val="0001033D"/>
    <w:rsid w:val="0001046F"/>
    <w:rsid w:val="0001112F"/>
    <w:rsid w:val="0001122E"/>
    <w:rsid w:val="0001135A"/>
    <w:rsid w:val="0001138F"/>
    <w:rsid w:val="00011564"/>
    <w:rsid w:val="000115B4"/>
    <w:rsid w:val="0001184A"/>
    <w:rsid w:val="00011862"/>
    <w:rsid w:val="00011A6E"/>
    <w:rsid w:val="00011C34"/>
    <w:rsid w:val="00011EEB"/>
    <w:rsid w:val="00011F2F"/>
    <w:rsid w:val="0001289E"/>
    <w:rsid w:val="00012A67"/>
    <w:rsid w:val="00012DA6"/>
    <w:rsid w:val="0001324F"/>
    <w:rsid w:val="000132D4"/>
    <w:rsid w:val="00013786"/>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AB8"/>
    <w:rsid w:val="00020CF1"/>
    <w:rsid w:val="00020E78"/>
    <w:rsid w:val="0002100C"/>
    <w:rsid w:val="000211B7"/>
    <w:rsid w:val="00021393"/>
    <w:rsid w:val="000219C5"/>
    <w:rsid w:val="000222CB"/>
    <w:rsid w:val="00022481"/>
    <w:rsid w:val="00022596"/>
    <w:rsid w:val="0002283E"/>
    <w:rsid w:val="000230D1"/>
    <w:rsid w:val="00023207"/>
    <w:rsid w:val="0002330E"/>
    <w:rsid w:val="00023394"/>
    <w:rsid w:val="00023BA4"/>
    <w:rsid w:val="00023FC2"/>
    <w:rsid w:val="00024066"/>
    <w:rsid w:val="00024297"/>
    <w:rsid w:val="00024407"/>
    <w:rsid w:val="00024839"/>
    <w:rsid w:val="00024888"/>
    <w:rsid w:val="00024A27"/>
    <w:rsid w:val="00024BDE"/>
    <w:rsid w:val="00024BEE"/>
    <w:rsid w:val="000257FB"/>
    <w:rsid w:val="00025F48"/>
    <w:rsid w:val="000261AD"/>
    <w:rsid w:val="00026F90"/>
    <w:rsid w:val="00027492"/>
    <w:rsid w:val="000278D5"/>
    <w:rsid w:val="00027BB4"/>
    <w:rsid w:val="00030238"/>
    <w:rsid w:val="00030457"/>
    <w:rsid w:val="00030635"/>
    <w:rsid w:val="00030BE3"/>
    <w:rsid w:val="00030D63"/>
    <w:rsid w:val="00030FDA"/>
    <w:rsid w:val="000311A0"/>
    <w:rsid w:val="000311D6"/>
    <w:rsid w:val="0003190F"/>
    <w:rsid w:val="00031BA9"/>
    <w:rsid w:val="00032712"/>
    <w:rsid w:val="00032912"/>
    <w:rsid w:val="00032A55"/>
    <w:rsid w:val="00033062"/>
    <w:rsid w:val="000335A4"/>
    <w:rsid w:val="0003360A"/>
    <w:rsid w:val="00033660"/>
    <w:rsid w:val="00033B61"/>
    <w:rsid w:val="00033CD5"/>
    <w:rsid w:val="000340F2"/>
    <w:rsid w:val="000345E2"/>
    <w:rsid w:val="000347F4"/>
    <w:rsid w:val="00034857"/>
    <w:rsid w:val="000348B1"/>
    <w:rsid w:val="00034CD6"/>
    <w:rsid w:val="00034D51"/>
    <w:rsid w:val="00034EB0"/>
    <w:rsid w:val="00034FBB"/>
    <w:rsid w:val="000350C3"/>
    <w:rsid w:val="000351C0"/>
    <w:rsid w:val="00035657"/>
    <w:rsid w:val="00035691"/>
    <w:rsid w:val="00035ABB"/>
    <w:rsid w:val="00035DE7"/>
    <w:rsid w:val="00035DEF"/>
    <w:rsid w:val="0003601D"/>
    <w:rsid w:val="000367EC"/>
    <w:rsid w:val="000367F2"/>
    <w:rsid w:val="000369F3"/>
    <w:rsid w:val="00036B30"/>
    <w:rsid w:val="00036BA8"/>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0B2"/>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452"/>
    <w:rsid w:val="00047F4A"/>
    <w:rsid w:val="00047F7C"/>
    <w:rsid w:val="0005002F"/>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35F6"/>
    <w:rsid w:val="00054178"/>
    <w:rsid w:val="0005424D"/>
    <w:rsid w:val="0005457F"/>
    <w:rsid w:val="000545A0"/>
    <w:rsid w:val="0005470D"/>
    <w:rsid w:val="000547B4"/>
    <w:rsid w:val="00054E68"/>
    <w:rsid w:val="00055435"/>
    <w:rsid w:val="00055512"/>
    <w:rsid w:val="000556F8"/>
    <w:rsid w:val="00055B4B"/>
    <w:rsid w:val="00055C34"/>
    <w:rsid w:val="00055CA0"/>
    <w:rsid w:val="00055FAC"/>
    <w:rsid w:val="0005608B"/>
    <w:rsid w:val="000562C5"/>
    <w:rsid w:val="00056418"/>
    <w:rsid w:val="00056897"/>
    <w:rsid w:val="00056A0D"/>
    <w:rsid w:val="00056A5F"/>
    <w:rsid w:val="00056AF5"/>
    <w:rsid w:val="00056DA6"/>
    <w:rsid w:val="00057017"/>
    <w:rsid w:val="0005728D"/>
    <w:rsid w:val="0005732D"/>
    <w:rsid w:val="00057360"/>
    <w:rsid w:val="0005746A"/>
    <w:rsid w:val="000575BC"/>
    <w:rsid w:val="00057672"/>
    <w:rsid w:val="00057810"/>
    <w:rsid w:val="00057928"/>
    <w:rsid w:val="00060406"/>
    <w:rsid w:val="000607C7"/>
    <w:rsid w:val="000607E3"/>
    <w:rsid w:val="000609E8"/>
    <w:rsid w:val="00060AD9"/>
    <w:rsid w:val="00060BA4"/>
    <w:rsid w:val="00060BEA"/>
    <w:rsid w:val="00060DC9"/>
    <w:rsid w:val="00060FB2"/>
    <w:rsid w:val="0006126A"/>
    <w:rsid w:val="00061322"/>
    <w:rsid w:val="00061521"/>
    <w:rsid w:val="00061670"/>
    <w:rsid w:val="00061780"/>
    <w:rsid w:val="00061909"/>
    <w:rsid w:val="00062CB3"/>
    <w:rsid w:val="000631EE"/>
    <w:rsid w:val="00063662"/>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C1D"/>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598"/>
    <w:rsid w:val="0007276D"/>
    <w:rsid w:val="000729D0"/>
    <w:rsid w:val="00072BB4"/>
    <w:rsid w:val="00072C63"/>
    <w:rsid w:val="00072CB1"/>
    <w:rsid w:val="00072D1A"/>
    <w:rsid w:val="00073330"/>
    <w:rsid w:val="000733B1"/>
    <w:rsid w:val="000734DB"/>
    <w:rsid w:val="00073702"/>
    <w:rsid w:val="00073B56"/>
    <w:rsid w:val="00074140"/>
    <w:rsid w:val="00074379"/>
    <w:rsid w:val="000743F2"/>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B62"/>
    <w:rsid w:val="00077BAD"/>
    <w:rsid w:val="00080025"/>
    <w:rsid w:val="000801B6"/>
    <w:rsid w:val="00080481"/>
    <w:rsid w:val="00080AA5"/>
    <w:rsid w:val="00080C9E"/>
    <w:rsid w:val="00080DD7"/>
    <w:rsid w:val="00080E36"/>
    <w:rsid w:val="00080FCF"/>
    <w:rsid w:val="0008115D"/>
    <w:rsid w:val="000813EC"/>
    <w:rsid w:val="00081874"/>
    <w:rsid w:val="00081B02"/>
    <w:rsid w:val="000821B1"/>
    <w:rsid w:val="00082439"/>
    <w:rsid w:val="000825EC"/>
    <w:rsid w:val="00082AF7"/>
    <w:rsid w:val="00082B0D"/>
    <w:rsid w:val="00082C93"/>
    <w:rsid w:val="000832CF"/>
    <w:rsid w:val="00083691"/>
    <w:rsid w:val="00083A82"/>
    <w:rsid w:val="00083B96"/>
    <w:rsid w:val="00084115"/>
    <w:rsid w:val="00084463"/>
    <w:rsid w:val="00084551"/>
    <w:rsid w:val="0008485C"/>
    <w:rsid w:val="00084912"/>
    <w:rsid w:val="00084993"/>
    <w:rsid w:val="00084D79"/>
    <w:rsid w:val="00084D98"/>
    <w:rsid w:val="00084E73"/>
    <w:rsid w:val="00084FAC"/>
    <w:rsid w:val="0008528D"/>
    <w:rsid w:val="000857A8"/>
    <w:rsid w:val="00085B0E"/>
    <w:rsid w:val="00085C38"/>
    <w:rsid w:val="00085C7B"/>
    <w:rsid w:val="00085EEB"/>
    <w:rsid w:val="00086496"/>
    <w:rsid w:val="00086A2E"/>
    <w:rsid w:val="00086A52"/>
    <w:rsid w:val="00086F92"/>
    <w:rsid w:val="000872A1"/>
    <w:rsid w:val="000873BD"/>
    <w:rsid w:val="00087459"/>
    <w:rsid w:val="00087616"/>
    <w:rsid w:val="000876B3"/>
    <w:rsid w:val="00087782"/>
    <w:rsid w:val="000877DC"/>
    <w:rsid w:val="00087EF2"/>
    <w:rsid w:val="00087F31"/>
    <w:rsid w:val="00090229"/>
    <w:rsid w:val="00090464"/>
    <w:rsid w:val="00090616"/>
    <w:rsid w:val="000909A3"/>
    <w:rsid w:val="00090D11"/>
    <w:rsid w:val="00091062"/>
    <w:rsid w:val="0009178E"/>
    <w:rsid w:val="00091CA7"/>
    <w:rsid w:val="00091D79"/>
    <w:rsid w:val="00091D8F"/>
    <w:rsid w:val="00091DC2"/>
    <w:rsid w:val="00091F08"/>
    <w:rsid w:val="00092042"/>
    <w:rsid w:val="00092351"/>
    <w:rsid w:val="00092D03"/>
    <w:rsid w:val="00092DE9"/>
    <w:rsid w:val="000932EE"/>
    <w:rsid w:val="000936BC"/>
    <w:rsid w:val="000936CF"/>
    <w:rsid w:val="00093721"/>
    <w:rsid w:val="00093DF7"/>
    <w:rsid w:val="00094244"/>
    <w:rsid w:val="00094ACA"/>
    <w:rsid w:val="00094BCC"/>
    <w:rsid w:val="00094D44"/>
    <w:rsid w:val="00095011"/>
    <w:rsid w:val="00095181"/>
    <w:rsid w:val="0009546F"/>
    <w:rsid w:val="00095566"/>
    <w:rsid w:val="0009586A"/>
    <w:rsid w:val="00095BCC"/>
    <w:rsid w:val="00096039"/>
    <w:rsid w:val="000965E3"/>
    <w:rsid w:val="00096DD1"/>
    <w:rsid w:val="00096FF6"/>
    <w:rsid w:val="00097063"/>
    <w:rsid w:val="000972D8"/>
    <w:rsid w:val="0009777B"/>
    <w:rsid w:val="00097782"/>
    <w:rsid w:val="0009791F"/>
    <w:rsid w:val="000A05CC"/>
    <w:rsid w:val="000A071C"/>
    <w:rsid w:val="000A14CC"/>
    <w:rsid w:val="000A17D8"/>
    <w:rsid w:val="000A217C"/>
    <w:rsid w:val="000A23D4"/>
    <w:rsid w:val="000A28FD"/>
    <w:rsid w:val="000A2F1B"/>
    <w:rsid w:val="000A3A49"/>
    <w:rsid w:val="000A3F6B"/>
    <w:rsid w:val="000A3FEA"/>
    <w:rsid w:val="000A407E"/>
    <w:rsid w:val="000A4099"/>
    <w:rsid w:val="000A4587"/>
    <w:rsid w:val="000A4711"/>
    <w:rsid w:val="000A4AB0"/>
    <w:rsid w:val="000A4B58"/>
    <w:rsid w:val="000A4DBC"/>
    <w:rsid w:val="000A4DF5"/>
    <w:rsid w:val="000A4EC2"/>
    <w:rsid w:val="000A4F1B"/>
    <w:rsid w:val="000A53E5"/>
    <w:rsid w:val="000A5608"/>
    <w:rsid w:val="000A5D48"/>
    <w:rsid w:val="000A5D83"/>
    <w:rsid w:val="000A5E1E"/>
    <w:rsid w:val="000A619B"/>
    <w:rsid w:val="000A6286"/>
    <w:rsid w:val="000A62D2"/>
    <w:rsid w:val="000A62D9"/>
    <w:rsid w:val="000A64F1"/>
    <w:rsid w:val="000A6850"/>
    <w:rsid w:val="000A69ED"/>
    <w:rsid w:val="000A6A59"/>
    <w:rsid w:val="000A6FA6"/>
    <w:rsid w:val="000A6FA7"/>
    <w:rsid w:val="000A7132"/>
    <w:rsid w:val="000A71BD"/>
    <w:rsid w:val="000A71E6"/>
    <w:rsid w:val="000A7667"/>
    <w:rsid w:val="000A79BC"/>
    <w:rsid w:val="000A7A40"/>
    <w:rsid w:val="000A7CC1"/>
    <w:rsid w:val="000A7CCC"/>
    <w:rsid w:val="000B0185"/>
    <w:rsid w:val="000B0286"/>
    <w:rsid w:val="000B04F3"/>
    <w:rsid w:val="000B068B"/>
    <w:rsid w:val="000B09E5"/>
    <w:rsid w:val="000B0BE1"/>
    <w:rsid w:val="000B0DF2"/>
    <w:rsid w:val="000B0FC7"/>
    <w:rsid w:val="000B116B"/>
    <w:rsid w:val="000B1A06"/>
    <w:rsid w:val="000B1A45"/>
    <w:rsid w:val="000B1A56"/>
    <w:rsid w:val="000B1B52"/>
    <w:rsid w:val="000B1C24"/>
    <w:rsid w:val="000B1E1E"/>
    <w:rsid w:val="000B250D"/>
    <w:rsid w:val="000B2877"/>
    <w:rsid w:val="000B28E3"/>
    <w:rsid w:val="000B2A64"/>
    <w:rsid w:val="000B2BE5"/>
    <w:rsid w:val="000B2D9D"/>
    <w:rsid w:val="000B30CB"/>
    <w:rsid w:val="000B35F9"/>
    <w:rsid w:val="000B37AF"/>
    <w:rsid w:val="000B38FF"/>
    <w:rsid w:val="000B3B4F"/>
    <w:rsid w:val="000B3EF5"/>
    <w:rsid w:val="000B4056"/>
    <w:rsid w:val="000B41E2"/>
    <w:rsid w:val="000B47AD"/>
    <w:rsid w:val="000B4D09"/>
    <w:rsid w:val="000B4E8F"/>
    <w:rsid w:val="000B5054"/>
    <w:rsid w:val="000B522D"/>
    <w:rsid w:val="000B6036"/>
    <w:rsid w:val="000B659B"/>
    <w:rsid w:val="000B66C8"/>
    <w:rsid w:val="000B66DD"/>
    <w:rsid w:val="000B6A5E"/>
    <w:rsid w:val="000B6DB5"/>
    <w:rsid w:val="000B6DEC"/>
    <w:rsid w:val="000B6F63"/>
    <w:rsid w:val="000B709C"/>
    <w:rsid w:val="000B7271"/>
    <w:rsid w:val="000B7644"/>
    <w:rsid w:val="000B785F"/>
    <w:rsid w:val="000B7F3B"/>
    <w:rsid w:val="000B7F8D"/>
    <w:rsid w:val="000B7FB2"/>
    <w:rsid w:val="000C0066"/>
    <w:rsid w:val="000C00ED"/>
    <w:rsid w:val="000C0127"/>
    <w:rsid w:val="000C02E6"/>
    <w:rsid w:val="000C1356"/>
    <w:rsid w:val="000C1449"/>
    <w:rsid w:val="000C14B1"/>
    <w:rsid w:val="000C159D"/>
    <w:rsid w:val="000C1D35"/>
    <w:rsid w:val="000C24C1"/>
    <w:rsid w:val="000C2549"/>
    <w:rsid w:val="000C27D1"/>
    <w:rsid w:val="000C28F1"/>
    <w:rsid w:val="000C2BDE"/>
    <w:rsid w:val="000C2E7A"/>
    <w:rsid w:val="000C2EB5"/>
    <w:rsid w:val="000C300C"/>
    <w:rsid w:val="000C339D"/>
    <w:rsid w:val="000C356F"/>
    <w:rsid w:val="000C3A22"/>
    <w:rsid w:val="000C3C09"/>
    <w:rsid w:val="000C4476"/>
    <w:rsid w:val="000C447F"/>
    <w:rsid w:val="000C4D99"/>
    <w:rsid w:val="000C4DD0"/>
    <w:rsid w:val="000C5359"/>
    <w:rsid w:val="000C58EA"/>
    <w:rsid w:val="000C5B33"/>
    <w:rsid w:val="000C5EAD"/>
    <w:rsid w:val="000C6046"/>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185"/>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499"/>
    <w:rsid w:val="000D671A"/>
    <w:rsid w:val="000D689E"/>
    <w:rsid w:val="000D6C6B"/>
    <w:rsid w:val="000D6C89"/>
    <w:rsid w:val="000D76DE"/>
    <w:rsid w:val="000D7975"/>
    <w:rsid w:val="000D7DEA"/>
    <w:rsid w:val="000E0130"/>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4A9"/>
    <w:rsid w:val="000E27D7"/>
    <w:rsid w:val="000E291D"/>
    <w:rsid w:val="000E2990"/>
    <w:rsid w:val="000E2A37"/>
    <w:rsid w:val="000E2AD6"/>
    <w:rsid w:val="000E2DF8"/>
    <w:rsid w:val="000E3415"/>
    <w:rsid w:val="000E3537"/>
    <w:rsid w:val="000E3F70"/>
    <w:rsid w:val="000E4052"/>
    <w:rsid w:val="000E477C"/>
    <w:rsid w:val="000E48A7"/>
    <w:rsid w:val="000E4B7A"/>
    <w:rsid w:val="000E4DE6"/>
    <w:rsid w:val="000E50CD"/>
    <w:rsid w:val="000E52E9"/>
    <w:rsid w:val="000E531E"/>
    <w:rsid w:val="000E5876"/>
    <w:rsid w:val="000E5E16"/>
    <w:rsid w:val="000E66DF"/>
    <w:rsid w:val="000E6AEF"/>
    <w:rsid w:val="000E6BFB"/>
    <w:rsid w:val="000E7502"/>
    <w:rsid w:val="000E77B6"/>
    <w:rsid w:val="000E7AB5"/>
    <w:rsid w:val="000E7D7C"/>
    <w:rsid w:val="000F072D"/>
    <w:rsid w:val="000F0828"/>
    <w:rsid w:val="000F0A02"/>
    <w:rsid w:val="000F0B51"/>
    <w:rsid w:val="000F0D0A"/>
    <w:rsid w:val="000F144D"/>
    <w:rsid w:val="000F1D37"/>
    <w:rsid w:val="000F1DE3"/>
    <w:rsid w:val="000F1FB8"/>
    <w:rsid w:val="000F234F"/>
    <w:rsid w:val="000F2537"/>
    <w:rsid w:val="000F25F3"/>
    <w:rsid w:val="000F28AF"/>
    <w:rsid w:val="000F2CBE"/>
    <w:rsid w:val="000F2FA1"/>
    <w:rsid w:val="000F3073"/>
    <w:rsid w:val="000F3092"/>
    <w:rsid w:val="000F3287"/>
    <w:rsid w:val="000F3542"/>
    <w:rsid w:val="000F3552"/>
    <w:rsid w:val="000F399B"/>
    <w:rsid w:val="000F39C2"/>
    <w:rsid w:val="000F3B1F"/>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AF"/>
    <w:rsid w:val="00100889"/>
    <w:rsid w:val="001009C5"/>
    <w:rsid w:val="00100C38"/>
    <w:rsid w:val="00100C75"/>
    <w:rsid w:val="00100EDE"/>
    <w:rsid w:val="0010117B"/>
    <w:rsid w:val="0010149A"/>
    <w:rsid w:val="00101711"/>
    <w:rsid w:val="00101741"/>
    <w:rsid w:val="0010199A"/>
    <w:rsid w:val="00101C99"/>
    <w:rsid w:val="00101D97"/>
    <w:rsid w:val="00101DB0"/>
    <w:rsid w:val="00101F20"/>
    <w:rsid w:val="00102099"/>
    <w:rsid w:val="001022AD"/>
    <w:rsid w:val="00102334"/>
    <w:rsid w:val="0010234F"/>
    <w:rsid w:val="00102358"/>
    <w:rsid w:val="00102684"/>
    <w:rsid w:val="001026D5"/>
    <w:rsid w:val="00102905"/>
    <w:rsid w:val="00102912"/>
    <w:rsid w:val="00102C41"/>
    <w:rsid w:val="00102C6C"/>
    <w:rsid w:val="00102E27"/>
    <w:rsid w:val="00103145"/>
    <w:rsid w:val="001032A9"/>
    <w:rsid w:val="001034D5"/>
    <w:rsid w:val="0010352A"/>
    <w:rsid w:val="00103623"/>
    <w:rsid w:val="00103708"/>
    <w:rsid w:val="00103816"/>
    <w:rsid w:val="00103827"/>
    <w:rsid w:val="001039C1"/>
    <w:rsid w:val="00103CC6"/>
    <w:rsid w:val="00103E7A"/>
    <w:rsid w:val="00103FDA"/>
    <w:rsid w:val="00103FDE"/>
    <w:rsid w:val="0010460D"/>
    <w:rsid w:val="00104EEC"/>
    <w:rsid w:val="00105762"/>
    <w:rsid w:val="00106826"/>
    <w:rsid w:val="00106B98"/>
    <w:rsid w:val="00106F44"/>
    <w:rsid w:val="00107322"/>
    <w:rsid w:val="001078BC"/>
    <w:rsid w:val="0010798C"/>
    <w:rsid w:val="00107A56"/>
    <w:rsid w:val="00107AA7"/>
    <w:rsid w:val="00107AF5"/>
    <w:rsid w:val="00107C14"/>
    <w:rsid w:val="00107CA0"/>
    <w:rsid w:val="00107D9D"/>
    <w:rsid w:val="00107FBC"/>
    <w:rsid w:val="0011064D"/>
    <w:rsid w:val="0011084B"/>
    <w:rsid w:val="001108DD"/>
    <w:rsid w:val="00110B29"/>
    <w:rsid w:val="00111756"/>
    <w:rsid w:val="0011178B"/>
    <w:rsid w:val="001117AA"/>
    <w:rsid w:val="001118E5"/>
    <w:rsid w:val="00111BC7"/>
    <w:rsid w:val="00111CDC"/>
    <w:rsid w:val="00111D35"/>
    <w:rsid w:val="00111D96"/>
    <w:rsid w:val="0011236A"/>
    <w:rsid w:val="001123F5"/>
    <w:rsid w:val="00112554"/>
    <w:rsid w:val="00112862"/>
    <w:rsid w:val="0011288E"/>
    <w:rsid w:val="00112948"/>
    <w:rsid w:val="00112A67"/>
    <w:rsid w:val="00112BA2"/>
    <w:rsid w:val="00112BBA"/>
    <w:rsid w:val="00112D9C"/>
    <w:rsid w:val="00112E5F"/>
    <w:rsid w:val="00113037"/>
    <w:rsid w:val="001130DE"/>
    <w:rsid w:val="00113427"/>
    <w:rsid w:val="001138D7"/>
    <w:rsid w:val="001138FE"/>
    <w:rsid w:val="00113982"/>
    <w:rsid w:val="00113BB5"/>
    <w:rsid w:val="00113C61"/>
    <w:rsid w:val="00113DC5"/>
    <w:rsid w:val="00113F21"/>
    <w:rsid w:val="001146A3"/>
    <w:rsid w:val="0011490A"/>
    <w:rsid w:val="00114EB6"/>
    <w:rsid w:val="001151FF"/>
    <w:rsid w:val="00115345"/>
    <w:rsid w:val="00115449"/>
    <w:rsid w:val="001159A1"/>
    <w:rsid w:val="00115AF7"/>
    <w:rsid w:val="00116629"/>
    <w:rsid w:val="0011673E"/>
    <w:rsid w:val="001167A1"/>
    <w:rsid w:val="001167B7"/>
    <w:rsid w:val="001173B4"/>
    <w:rsid w:val="00117658"/>
    <w:rsid w:val="001176F9"/>
    <w:rsid w:val="0011778F"/>
    <w:rsid w:val="00120398"/>
    <w:rsid w:val="0012129C"/>
    <w:rsid w:val="00121718"/>
    <w:rsid w:val="0012198E"/>
    <w:rsid w:val="00121B4C"/>
    <w:rsid w:val="001222B5"/>
    <w:rsid w:val="001222D0"/>
    <w:rsid w:val="0012235D"/>
    <w:rsid w:val="001224DF"/>
    <w:rsid w:val="001229B2"/>
    <w:rsid w:val="001229C1"/>
    <w:rsid w:val="00122AC7"/>
    <w:rsid w:val="00122BE1"/>
    <w:rsid w:val="00122BEE"/>
    <w:rsid w:val="00123110"/>
    <w:rsid w:val="00123478"/>
    <w:rsid w:val="00123649"/>
    <w:rsid w:val="001237AA"/>
    <w:rsid w:val="0012391D"/>
    <w:rsid w:val="00123B8C"/>
    <w:rsid w:val="00124222"/>
    <w:rsid w:val="00124632"/>
    <w:rsid w:val="00124ACC"/>
    <w:rsid w:val="00124F7D"/>
    <w:rsid w:val="00125030"/>
    <w:rsid w:val="00125891"/>
    <w:rsid w:val="00125967"/>
    <w:rsid w:val="0012598C"/>
    <w:rsid w:val="00125BC5"/>
    <w:rsid w:val="00125CD0"/>
    <w:rsid w:val="00125E38"/>
    <w:rsid w:val="00125EDC"/>
    <w:rsid w:val="0012611E"/>
    <w:rsid w:val="00126209"/>
    <w:rsid w:val="001277EC"/>
    <w:rsid w:val="00127E3E"/>
    <w:rsid w:val="00127FAA"/>
    <w:rsid w:val="00130069"/>
    <w:rsid w:val="00130286"/>
    <w:rsid w:val="0013030F"/>
    <w:rsid w:val="0013037C"/>
    <w:rsid w:val="001303A8"/>
    <w:rsid w:val="001303B2"/>
    <w:rsid w:val="00130460"/>
    <w:rsid w:val="00130582"/>
    <w:rsid w:val="001305D8"/>
    <w:rsid w:val="001306D0"/>
    <w:rsid w:val="0013077F"/>
    <w:rsid w:val="001307EC"/>
    <w:rsid w:val="00130914"/>
    <w:rsid w:val="00130DA0"/>
    <w:rsid w:val="00130F74"/>
    <w:rsid w:val="00131AED"/>
    <w:rsid w:val="00131EB0"/>
    <w:rsid w:val="0013227F"/>
    <w:rsid w:val="001323B8"/>
    <w:rsid w:val="001326B9"/>
    <w:rsid w:val="001326EA"/>
    <w:rsid w:val="001327E2"/>
    <w:rsid w:val="00132DE9"/>
    <w:rsid w:val="00132FDD"/>
    <w:rsid w:val="00133086"/>
    <w:rsid w:val="0013331C"/>
    <w:rsid w:val="00133468"/>
    <w:rsid w:val="001334C3"/>
    <w:rsid w:val="0013363E"/>
    <w:rsid w:val="0013375B"/>
    <w:rsid w:val="00133765"/>
    <w:rsid w:val="00133908"/>
    <w:rsid w:val="0013396B"/>
    <w:rsid w:val="00133E95"/>
    <w:rsid w:val="00134560"/>
    <w:rsid w:val="00134644"/>
    <w:rsid w:val="00134647"/>
    <w:rsid w:val="0013465D"/>
    <w:rsid w:val="0013470C"/>
    <w:rsid w:val="00135B91"/>
    <w:rsid w:val="00135BDE"/>
    <w:rsid w:val="00135CCF"/>
    <w:rsid w:val="00135D9B"/>
    <w:rsid w:val="00135E99"/>
    <w:rsid w:val="0013641C"/>
    <w:rsid w:val="001366EE"/>
    <w:rsid w:val="001366FF"/>
    <w:rsid w:val="001368D1"/>
    <w:rsid w:val="001368F4"/>
    <w:rsid w:val="0013698C"/>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70D"/>
    <w:rsid w:val="00142A34"/>
    <w:rsid w:val="00142AEF"/>
    <w:rsid w:val="00142D1D"/>
    <w:rsid w:val="00142F49"/>
    <w:rsid w:val="0014305C"/>
    <w:rsid w:val="00143459"/>
    <w:rsid w:val="00143499"/>
    <w:rsid w:val="00143530"/>
    <w:rsid w:val="00143546"/>
    <w:rsid w:val="00143560"/>
    <w:rsid w:val="00143706"/>
    <w:rsid w:val="001439A4"/>
    <w:rsid w:val="00143C70"/>
    <w:rsid w:val="00143DD6"/>
    <w:rsid w:val="00144148"/>
    <w:rsid w:val="00144371"/>
    <w:rsid w:val="00144381"/>
    <w:rsid w:val="0014456E"/>
    <w:rsid w:val="0014481C"/>
    <w:rsid w:val="00144913"/>
    <w:rsid w:val="00144A9E"/>
    <w:rsid w:val="00144D2D"/>
    <w:rsid w:val="00145511"/>
    <w:rsid w:val="001456FD"/>
    <w:rsid w:val="001459DB"/>
    <w:rsid w:val="00145AB4"/>
    <w:rsid w:val="00145F77"/>
    <w:rsid w:val="00146259"/>
    <w:rsid w:val="001465EC"/>
    <w:rsid w:val="001466EF"/>
    <w:rsid w:val="00146718"/>
    <w:rsid w:val="001467CE"/>
    <w:rsid w:val="001469C2"/>
    <w:rsid w:val="001469CE"/>
    <w:rsid w:val="00146A4E"/>
    <w:rsid w:val="00146BDD"/>
    <w:rsid w:val="0014705A"/>
    <w:rsid w:val="00147113"/>
    <w:rsid w:val="001471D4"/>
    <w:rsid w:val="00147B1F"/>
    <w:rsid w:val="00147D7A"/>
    <w:rsid w:val="00147E69"/>
    <w:rsid w:val="00150302"/>
    <w:rsid w:val="0015079F"/>
    <w:rsid w:val="00150895"/>
    <w:rsid w:val="00150B1F"/>
    <w:rsid w:val="00151318"/>
    <w:rsid w:val="0015137C"/>
    <w:rsid w:val="00151451"/>
    <w:rsid w:val="001515B4"/>
    <w:rsid w:val="001515C9"/>
    <w:rsid w:val="00151812"/>
    <w:rsid w:val="00151C70"/>
    <w:rsid w:val="00151CC3"/>
    <w:rsid w:val="001525B2"/>
    <w:rsid w:val="0015270B"/>
    <w:rsid w:val="001528B1"/>
    <w:rsid w:val="00152952"/>
    <w:rsid w:val="00152DB7"/>
    <w:rsid w:val="00153027"/>
    <w:rsid w:val="00153473"/>
    <w:rsid w:val="001535AA"/>
    <w:rsid w:val="001537AB"/>
    <w:rsid w:val="0015389B"/>
    <w:rsid w:val="00153996"/>
    <w:rsid w:val="00153C6E"/>
    <w:rsid w:val="00153EEE"/>
    <w:rsid w:val="001543E5"/>
    <w:rsid w:val="0015460F"/>
    <w:rsid w:val="00154722"/>
    <w:rsid w:val="00154BFB"/>
    <w:rsid w:val="00154D91"/>
    <w:rsid w:val="00154DC2"/>
    <w:rsid w:val="00155291"/>
    <w:rsid w:val="00155875"/>
    <w:rsid w:val="00155BE1"/>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CD"/>
    <w:rsid w:val="001605D0"/>
    <w:rsid w:val="00160A12"/>
    <w:rsid w:val="00160A76"/>
    <w:rsid w:val="00160CC7"/>
    <w:rsid w:val="00160F9A"/>
    <w:rsid w:val="00161227"/>
    <w:rsid w:val="00161353"/>
    <w:rsid w:val="00161620"/>
    <w:rsid w:val="0016166C"/>
    <w:rsid w:val="00161B14"/>
    <w:rsid w:val="00161D7E"/>
    <w:rsid w:val="00161F45"/>
    <w:rsid w:val="001622D1"/>
    <w:rsid w:val="001622DF"/>
    <w:rsid w:val="00162714"/>
    <w:rsid w:val="00162CDC"/>
    <w:rsid w:val="00162D8B"/>
    <w:rsid w:val="00163100"/>
    <w:rsid w:val="001631DD"/>
    <w:rsid w:val="001634C5"/>
    <w:rsid w:val="00163682"/>
    <w:rsid w:val="001638B1"/>
    <w:rsid w:val="00163C00"/>
    <w:rsid w:val="00163DBA"/>
    <w:rsid w:val="00163FE7"/>
    <w:rsid w:val="0016421C"/>
    <w:rsid w:val="001642DD"/>
    <w:rsid w:val="00164CB6"/>
    <w:rsid w:val="00164DF1"/>
    <w:rsid w:val="0016523D"/>
    <w:rsid w:val="001654B6"/>
    <w:rsid w:val="001655F2"/>
    <w:rsid w:val="001655F9"/>
    <w:rsid w:val="00165639"/>
    <w:rsid w:val="001657EE"/>
    <w:rsid w:val="00165933"/>
    <w:rsid w:val="001659BA"/>
    <w:rsid w:val="00165C30"/>
    <w:rsid w:val="001660D5"/>
    <w:rsid w:val="0016669E"/>
    <w:rsid w:val="00166C01"/>
    <w:rsid w:val="00166E08"/>
    <w:rsid w:val="0016715F"/>
    <w:rsid w:val="00167231"/>
    <w:rsid w:val="001672E7"/>
    <w:rsid w:val="001673F4"/>
    <w:rsid w:val="00167426"/>
    <w:rsid w:val="001674EF"/>
    <w:rsid w:val="0017014B"/>
    <w:rsid w:val="00170516"/>
    <w:rsid w:val="00170A57"/>
    <w:rsid w:val="00170C1C"/>
    <w:rsid w:val="00170CC0"/>
    <w:rsid w:val="00170EBD"/>
    <w:rsid w:val="00170FEA"/>
    <w:rsid w:val="0017102B"/>
    <w:rsid w:val="00171110"/>
    <w:rsid w:val="0017111C"/>
    <w:rsid w:val="00171201"/>
    <w:rsid w:val="0017121C"/>
    <w:rsid w:val="00171D84"/>
    <w:rsid w:val="00171F5F"/>
    <w:rsid w:val="001722BA"/>
    <w:rsid w:val="0017241B"/>
    <w:rsid w:val="0017267E"/>
    <w:rsid w:val="00172683"/>
    <w:rsid w:val="001727BD"/>
    <w:rsid w:val="00172F51"/>
    <w:rsid w:val="00173177"/>
    <w:rsid w:val="001736FD"/>
    <w:rsid w:val="00173907"/>
    <w:rsid w:val="00173AB9"/>
    <w:rsid w:val="00173D7A"/>
    <w:rsid w:val="00173E09"/>
    <w:rsid w:val="00174561"/>
    <w:rsid w:val="00174A00"/>
    <w:rsid w:val="00174E82"/>
    <w:rsid w:val="00175BEE"/>
    <w:rsid w:val="00175F71"/>
    <w:rsid w:val="0017620C"/>
    <w:rsid w:val="00176436"/>
    <w:rsid w:val="00176A7E"/>
    <w:rsid w:val="00177A36"/>
    <w:rsid w:val="00177E07"/>
    <w:rsid w:val="0018039A"/>
    <w:rsid w:val="00180505"/>
    <w:rsid w:val="001806EE"/>
    <w:rsid w:val="001808C3"/>
    <w:rsid w:val="00180939"/>
    <w:rsid w:val="00180BE2"/>
    <w:rsid w:val="00180C64"/>
    <w:rsid w:val="00180D6F"/>
    <w:rsid w:val="00180D7D"/>
    <w:rsid w:val="00180D92"/>
    <w:rsid w:val="00180E8A"/>
    <w:rsid w:val="00180E98"/>
    <w:rsid w:val="001813F4"/>
    <w:rsid w:val="00181675"/>
    <w:rsid w:val="00181AD3"/>
    <w:rsid w:val="00181F1B"/>
    <w:rsid w:val="00181F9A"/>
    <w:rsid w:val="0018211B"/>
    <w:rsid w:val="00182244"/>
    <w:rsid w:val="001825AC"/>
    <w:rsid w:val="001826EC"/>
    <w:rsid w:val="001827ED"/>
    <w:rsid w:val="0018309D"/>
    <w:rsid w:val="00183691"/>
    <w:rsid w:val="001836B4"/>
    <w:rsid w:val="00183F72"/>
    <w:rsid w:val="00184014"/>
    <w:rsid w:val="001841F5"/>
    <w:rsid w:val="00184214"/>
    <w:rsid w:val="00184833"/>
    <w:rsid w:val="00184CD9"/>
    <w:rsid w:val="00184EC6"/>
    <w:rsid w:val="00185381"/>
    <w:rsid w:val="00185607"/>
    <w:rsid w:val="0018576C"/>
    <w:rsid w:val="00185AA4"/>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137E"/>
    <w:rsid w:val="001913D3"/>
    <w:rsid w:val="00191445"/>
    <w:rsid w:val="00191674"/>
    <w:rsid w:val="001916B2"/>
    <w:rsid w:val="00191A88"/>
    <w:rsid w:val="00191AE4"/>
    <w:rsid w:val="00191DF7"/>
    <w:rsid w:val="00192135"/>
    <w:rsid w:val="001923FD"/>
    <w:rsid w:val="0019246A"/>
    <w:rsid w:val="001924E1"/>
    <w:rsid w:val="001928F7"/>
    <w:rsid w:val="00192D7F"/>
    <w:rsid w:val="00193286"/>
    <w:rsid w:val="00193342"/>
    <w:rsid w:val="0019373B"/>
    <w:rsid w:val="00193929"/>
    <w:rsid w:val="00193C27"/>
    <w:rsid w:val="00193F8B"/>
    <w:rsid w:val="001940C6"/>
    <w:rsid w:val="00194399"/>
    <w:rsid w:val="00195101"/>
    <w:rsid w:val="00195507"/>
    <w:rsid w:val="00195612"/>
    <w:rsid w:val="00195ABE"/>
    <w:rsid w:val="00195E4D"/>
    <w:rsid w:val="00195F2A"/>
    <w:rsid w:val="00195F4C"/>
    <w:rsid w:val="00195F92"/>
    <w:rsid w:val="0019614F"/>
    <w:rsid w:val="0019640D"/>
    <w:rsid w:val="001964A0"/>
    <w:rsid w:val="00196574"/>
    <w:rsid w:val="00196651"/>
    <w:rsid w:val="001967F2"/>
    <w:rsid w:val="00196C0A"/>
    <w:rsid w:val="00196D4B"/>
    <w:rsid w:val="001970BD"/>
    <w:rsid w:val="0019714F"/>
    <w:rsid w:val="00197822"/>
    <w:rsid w:val="00197941"/>
    <w:rsid w:val="001979FE"/>
    <w:rsid w:val="00197CF5"/>
    <w:rsid w:val="00197DE0"/>
    <w:rsid w:val="00197E00"/>
    <w:rsid w:val="00197F00"/>
    <w:rsid w:val="001A03A2"/>
    <w:rsid w:val="001A07DA"/>
    <w:rsid w:val="001A07F8"/>
    <w:rsid w:val="001A0F30"/>
    <w:rsid w:val="001A0F68"/>
    <w:rsid w:val="001A1ACE"/>
    <w:rsid w:val="001A1DFD"/>
    <w:rsid w:val="001A29F7"/>
    <w:rsid w:val="001A2A72"/>
    <w:rsid w:val="001A2DD5"/>
    <w:rsid w:val="001A2F86"/>
    <w:rsid w:val="001A2FC2"/>
    <w:rsid w:val="001A300F"/>
    <w:rsid w:val="001A3023"/>
    <w:rsid w:val="001A306B"/>
    <w:rsid w:val="001A3480"/>
    <w:rsid w:val="001A3788"/>
    <w:rsid w:val="001A386C"/>
    <w:rsid w:val="001A3CA5"/>
    <w:rsid w:val="001A3FE2"/>
    <w:rsid w:val="001A40EA"/>
    <w:rsid w:val="001A437E"/>
    <w:rsid w:val="001A449C"/>
    <w:rsid w:val="001A459D"/>
    <w:rsid w:val="001A5655"/>
    <w:rsid w:val="001A5850"/>
    <w:rsid w:val="001A5A49"/>
    <w:rsid w:val="001A5D52"/>
    <w:rsid w:val="001A5E70"/>
    <w:rsid w:val="001A5F04"/>
    <w:rsid w:val="001A607E"/>
    <w:rsid w:val="001A6413"/>
    <w:rsid w:val="001A6787"/>
    <w:rsid w:val="001A67B3"/>
    <w:rsid w:val="001A6812"/>
    <w:rsid w:val="001A6828"/>
    <w:rsid w:val="001A691B"/>
    <w:rsid w:val="001A697F"/>
    <w:rsid w:val="001A6BAE"/>
    <w:rsid w:val="001A6C98"/>
    <w:rsid w:val="001A6FDB"/>
    <w:rsid w:val="001A7002"/>
    <w:rsid w:val="001A747B"/>
    <w:rsid w:val="001A7AC2"/>
    <w:rsid w:val="001B01BF"/>
    <w:rsid w:val="001B05B5"/>
    <w:rsid w:val="001B0AB1"/>
    <w:rsid w:val="001B0CAE"/>
    <w:rsid w:val="001B0EB5"/>
    <w:rsid w:val="001B1354"/>
    <w:rsid w:val="001B1566"/>
    <w:rsid w:val="001B1BF0"/>
    <w:rsid w:val="001B1DF7"/>
    <w:rsid w:val="001B2388"/>
    <w:rsid w:val="001B251C"/>
    <w:rsid w:val="001B2583"/>
    <w:rsid w:val="001B26A8"/>
    <w:rsid w:val="001B2DCB"/>
    <w:rsid w:val="001B2EFE"/>
    <w:rsid w:val="001B3176"/>
    <w:rsid w:val="001B3414"/>
    <w:rsid w:val="001B3A01"/>
    <w:rsid w:val="001B3F5A"/>
    <w:rsid w:val="001B41BD"/>
    <w:rsid w:val="001B42EB"/>
    <w:rsid w:val="001B45C6"/>
    <w:rsid w:val="001B4A3A"/>
    <w:rsid w:val="001B4BA8"/>
    <w:rsid w:val="001B5078"/>
    <w:rsid w:val="001B507A"/>
    <w:rsid w:val="001B5189"/>
    <w:rsid w:val="001B55C3"/>
    <w:rsid w:val="001B5601"/>
    <w:rsid w:val="001B56C3"/>
    <w:rsid w:val="001B5CB0"/>
    <w:rsid w:val="001B660D"/>
    <w:rsid w:val="001B668B"/>
    <w:rsid w:val="001B676D"/>
    <w:rsid w:val="001B6962"/>
    <w:rsid w:val="001B6EA6"/>
    <w:rsid w:val="001B6F3B"/>
    <w:rsid w:val="001B6F7D"/>
    <w:rsid w:val="001B7909"/>
    <w:rsid w:val="001B7BC2"/>
    <w:rsid w:val="001C095E"/>
    <w:rsid w:val="001C0B18"/>
    <w:rsid w:val="001C0D7D"/>
    <w:rsid w:val="001C0DA0"/>
    <w:rsid w:val="001C0E06"/>
    <w:rsid w:val="001C0E6E"/>
    <w:rsid w:val="001C1401"/>
    <w:rsid w:val="001C14BE"/>
    <w:rsid w:val="001C1C8C"/>
    <w:rsid w:val="001C1CD0"/>
    <w:rsid w:val="001C1D64"/>
    <w:rsid w:val="001C1E69"/>
    <w:rsid w:val="001C1F09"/>
    <w:rsid w:val="001C25D2"/>
    <w:rsid w:val="001C26ED"/>
    <w:rsid w:val="001C2DBD"/>
    <w:rsid w:val="001C2FA3"/>
    <w:rsid w:val="001C2FD6"/>
    <w:rsid w:val="001C3A0B"/>
    <w:rsid w:val="001C3A2C"/>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6DA"/>
    <w:rsid w:val="001C78EB"/>
    <w:rsid w:val="001C7DF1"/>
    <w:rsid w:val="001D03DC"/>
    <w:rsid w:val="001D05A1"/>
    <w:rsid w:val="001D06BF"/>
    <w:rsid w:val="001D0F95"/>
    <w:rsid w:val="001D11FD"/>
    <w:rsid w:val="001D14E6"/>
    <w:rsid w:val="001D1970"/>
    <w:rsid w:val="001D1AB0"/>
    <w:rsid w:val="001D1AB8"/>
    <w:rsid w:val="001D21E5"/>
    <w:rsid w:val="001D2346"/>
    <w:rsid w:val="001D23AC"/>
    <w:rsid w:val="001D2749"/>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7A"/>
    <w:rsid w:val="001D57F3"/>
    <w:rsid w:val="001D5957"/>
    <w:rsid w:val="001D5DC5"/>
    <w:rsid w:val="001D5EF5"/>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CC9"/>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426"/>
    <w:rsid w:val="001E36C6"/>
    <w:rsid w:val="001E387D"/>
    <w:rsid w:val="001E38D4"/>
    <w:rsid w:val="001E3FCC"/>
    <w:rsid w:val="001E4001"/>
    <w:rsid w:val="001E46C5"/>
    <w:rsid w:val="001E4743"/>
    <w:rsid w:val="001E4A0C"/>
    <w:rsid w:val="001E4B1C"/>
    <w:rsid w:val="001E4B39"/>
    <w:rsid w:val="001E4D1F"/>
    <w:rsid w:val="001E52EA"/>
    <w:rsid w:val="001E5667"/>
    <w:rsid w:val="001E6133"/>
    <w:rsid w:val="001E614C"/>
    <w:rsid w:val="001E6320"/>
    <w:rsid w:val="001E6C4D"/>
    <w:rsid w:val="001E6DB5"/>
    <w:rsid w:val="001E7606"/>
    <w:rsid w:val="001E7866"/>
    <w:rsid w:val="001F0B1C"/>
    <w:rsid w:val="001F0B74"/>
    <w:rsid w:val="001F0DE0"/>
    <w:rsid w:val="001F1059"/>
    <w:rsid w:val="001F1879"/>
    <w:rsid w:val="001F18F3"/>
    <w:rsid w:val="001F1964"/>
    <w:rsid w:val="001F1FAC"/>
    <w:rsid w:val="001F1FED"/>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9E1"/>
    <w:rsid w:val="001F5DF3"/>
    <w:rsid w:val="001F6287"/>
    <w:rsid w:val="001F6370"/>
    <w:rsid w:val="001F649D"/>
    <w:rsid w:val="001F64E3"/>
    <w:rsid w:val="001F6562"/>
    <w:rsid w:val="001F65F1"/>
    <w:rsid w:val="001F6779"/>
    <w:rsid w:val="001F712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8DC"/>
    <w:rsid w:val="00202AC4"/>
    <w:rsid w:val="00202B04"/>
    <w:rsid w:val="002031C8"/>
    <w:rsid w:val="002034D4"/>
    <w:rsid w:val="002036DB"/>
    <w:rsid w:val="00203B9F"/>
    <w:rsid w:val="00203C5F"/>
    <w:rsid w:val="00203E8B"/>
    <w:rsid w:val="00203F72"/>
    <w:rsid w:val="00203F76"/>
    <w:rsid w:val="0020421D"/>
    <w:rsid w:val="00204469"/>
    <w:rsid w:val="00204ADE"/>
    <w:rsid w:val="00204B9E"/>
    <w:rsid w:val="00204FB8"/>
    <w:rsid w:val="002051E2"/>
    <w:rsid w:val="00205247"/>
    <w:rsid w:val="00205250"/>
    <w:rsid w:val="002053DE"/>
    <w:rsid w:val="00205482"/>
    <w:rsid w:val="00205752"/>
    <w:rsid w:val="00205913"/>
    <w:rsid w:val="00205AFC"/>
    <w:rsid w:val="00205D61"/>
    <w:rsid w:val="00206AC7"/>
    <w:rsid w:val="00206C04"/>
    <w:rsid w:val="00207369"/>
    <w:rsid w:val="002074D9"/>
    <w:rsid w:val="0020750D"/>
    <w:rsid w:val="0020757F"/>
    <w:rsid w:val="002076D1"/>
    <w:rsid w:val="002077CE"/>
    <w:rsid w:val="00207849"/>
    <w:rsid w:val="00207D3E"/>
    <w:rsid w:val="0020F9CF"/>
    <w:rsid w:val="002100B8"/>
    <w:rsid w:val="00210209"/>
    <w:rsid w:val="002104E2"/>
    <w:rsid w:val="002112EC"/>
    <w:rsid w:val="002113BD"/>
    <w:rsid w:val="00211B7E"/>
    <w:rsid w:val="00211C8E"/>
    <w:rsid w:val="00211E6E"/>
    <w:rsid w:val="00211EC0"/>
    <w:rsid w:val="00212168"/>
    <w:rsid w:val="0021234B"/>
    <w:rsid w:val="0021272D"/>
    <w:rsid w:val="00212917"/>
    <w:rsid w:val="00212A53"/>
    <w:rsid w:val="00212DDC"/>
    <w:rsid w:val="00212F46"/>
    <w:rsid w:val="00213091"/>
    <w:rsid w:val="00213710"/>
    <w:rsid w:val="002138BA"/>
    <w:rsid w:val="00213ACD"/>
    <w:rsid w:val="00213C12"/>
    <w:rsid w:val="00213E39"/>
    <w:rsid w:val="00213E93"/>
    <w:rsid w:val="002141D8"/>
    <w:rsid w:val="0021468D"/>
    <w:rsid w:val="002147F1"/>
    <w:rsid w:val="00214CBF"/>
    <w:rsid w:val="00214F01"/>
    <w:rsid w:val="00214F95"/>
    <w:rsid w:val="00214F9D"/>
    <w:rsid w:val="0021507D"/>
    <w:rsid w:val="002152F1"/>
    <w:rsid w:val="00215C86"/>
    <w:rsid w:val="002163AC"/>
    <w:rsid w:val="0021655A"/>
    <w:rsid w:val="0021656D"/>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DA5"/>
    <w:rsid w:val="00220F81"/>
    <w:rsid w:val="00220FDA"/>
    <w:rsid w:val="002216CA"/>
    <w:rsid w:val="00221A9D"/>
    <w:rsid w:val="00221E78"/>
    <w:rsid w:val="002220F9"/>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50C0"/>
    <w:rsid w:val="002250FD"/>
    <w:rsid w:val="00225BEC"/>
    <w:rsid w:val="0022653D"/>
    <w:rsid w:val="00226991"/>
    <w:rsid w:val="00226E09"/>
    <w:rsid w:val="00226E46"/>
    <w:rsid w:val="00226F88"/>
    <w:rsid w:val="00227CE3"/>
    <w:rsid w:val="00227E0D"/>
    <w:rsid w:val="00230118"/>
    <w:rsid w:val="00230401"/>
    <w:rsid w:val="00230566"/>
    <w:rsid w:val="002305DB"/>
    <w:rsid w:val="00230B2E"/>
    <w:rsid w:val="00230ED8"/>
    <w:rsid w:val="00230F54"/>
    <w:rsid w:val="0023180D"/>
    <w:rsid w:val="00231A1A"/>
    <w:rsid w:val="00231D08"/>
    <w:rsid w:val="00232040"/>
    <w:rsid w:val="002324F6"/>
    <w:rsid w:val="002327B2"/>
    <w:rsid w:val="002327BC"/>
    <w:rsid w:val="00232890"/>
    <w:rsid w:val="00232C6B"/>
    <w:rsid w:val="00232E8D"/>
    <w:rsid w:val="00233208"/>
    <w:rsid w:val="00233421"/>
    <w:rsid w:val="00233475"/>
    <w:rsid w:val="002334C2"/>
    <w:rsid w:val="0023354B"/>
    <w:rsid w:val="0023357F"/>
    <w:rsid w:val="0023399B"/>
    <w:rsid w:val="00234205"/>
    <w:rsid w:val="002344B4"/>
    <w:rsid w:val="0023490F"/>
    <w:rsid w:val="00235167"/>
    <w:rsid w:val="00235CB0"/>
    <w:rsid w:val="00235ED6"/>
    <w:rsid w:val="00235F6B"/>
    <w:rsid w:val="002362F8"/>
    <w:rsid w:val="0023631A"/>
    <w:rsid w:val="00236413"/>
    <w:rsid w:val="00236505"/>
    <w:rsid w:val="002365FD"/>
    <w:rsid w:val="00236694"/>
    <w:rsid w:val="002366D2"/>
    <w:rsid w:val="00236B35"/>
    <w:rsid w:val="00236E07"/>
    <w:rsid w:val="00237133"/>
    <w:rsid w:val="002371E7"/>
    <w:rsid w:val="002374E4"/>
    <w:rsid w:val="002376CC"/>
    <w:rsid w:val="002379D4"/>
    <w:rsid w:val="00237B73"/>
    <w:rsid w:val="00240357"/>
    <w:rsid w:val="00240660"/>
    <w:rsid w:val="002410BE"/>
    <w:rsid w:val="00241135"/>
    <w:rsid w:val="002413A3"/>
    <w:rsid w:val="002413AC"/>
    <w:rsid w:val="002414FF"/>
    <w:rsid w:val="0024186B"/>
    <w:rsid w:val="002418EC"/>
    <w:rsid w:val="002419E5"/>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AC4"/>
    <w:rsid w:val="00246CD8"/>
    <w:rsid w:val="00246F78"/>
    <w:rsid w:val="0024710A"/>
    <w:rsid w:val="00247383"/>
    <w:rsid w:val="002476D2"/>
    <w:rsid w:val="00247A75"/>
    <w:rsid w:val="00247F6E"/>
    <w:rsid w:val="0024A019"/>
    <w:rsid w:val="00250169"/>
    <w:rsid w:val="00250C54"/>
    <w:rsid w:val="00250DC1"/>
    <w:rsid w:val="00251113"/>
    <w:rsid w:val="00251174"/>
    <w:rsid w:val="00251192"/>
    <w:rsid w:val="002515C6"/>
    <w:rsid w:val="00251B2A"/>
    <w:rsid w:val="00251E08"/>
    <w:rsid w:val="00251F23"/>
    <w:rsid w:val="00252447"/>
    <w:rsid w:val="00252AA7"/>
    <w:rsid w:val="00252E7E"/>
    <w:rsid w:val="002530D0"/>
    <w:rsid w:val="00253148"/>
    <w:rsid w:val="002531AB"/>
    <w:rsid w:val="002536CE"/>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8FA"/>
    <w:rsid w:val="00256C58"/>
    <w:rsid w:val="0025708A"/>
    <w:rsid w:val="0025765E"/>
    <w:rsid w:val="00257FA7"/>
    <w:rsid w:val="002602A1"/>
    <w:rsid w:val="002604DB"/>
    <w:rsid w:val="00260608"/>
    <w:rsid w:val="0026086B"/>
    <w:rsid w:val="00260D89"/>
    <w:rsid w:val="002615E8"/>
    <w:rsid w:val="00261945"/>
    <w:rsid w:val="00261E12"/>
    <w:rsid w:val="002621EC"/>
    <w:rsid w:val="00262854"/>
    <w:rsid w:val="00262A52"/>
    <w:rsid w:val="00262F20"/>
    <w:rsid w:val="00263621"/>
    <w:rsid w:val="002638C7"/>
    <w:rsid w:val="002639BD"/>
    <w:rsid w:val="00263ABD"/>
    <w:rsid w:val="00263D62"/>
    <w:rsid w:val="002642F5"/>
    <w:rsid w:val="0026452F"/>
    <w:rsid w:val="002646B9"/>
    <w:rsid w:val="002648CA"/>
    <w:rsid w:val="00264E16"/>
    <w:rsid w:val="00265956"/>
    <w:rsid w:val="00265E66"/>
    <w:rsid w:val="00265F58"/>
    <w:rsid w:val="00266014"/>
    <w:rsid w:val="0026603E"/>
    <w:rsid w:val="00266996"/>
    <w:rsid w:val="00266ADE"/>
    <w:rsid w:val="00266B08"/>
    <w:rsid w:val="00266B11"/>
    <w:rsid w:val="00266E13"/>
    <w:rsid w:val="0026705B"/>
    <w:rsid w:val="00267300"/>
    <w:rsid w:val="00267644"/>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0E5"/>
    <w:rsid w:val="0027215B"/>
    <w:rsid w:val="0027216C"/>
    <w:rsid w:val="002721B4"/>
    <w:rsid w:val="002725C2"/>
    <w:rsid w:val="00272A1E"/>
    <w:rsid w:val="00272C4C"/>
    <w:rsid w:val="00272CE0"/>
    <w:rsid w:val="00273198"/>
    <w:rsid w:val="00273382"/>
    <w:rsid w:val="00273806"/>
    <w:rsid w:val="00273B64"/>
    <w:rsid w:val="00273FAA"/>
    <w:rsid w:val="0027402F"/>
    <w:rsid w:val="00274172"/>
    <w:rsid w:val="00274196"/>
    <w:rsid w:val="002743AE"/>
    <w:rsid w:val="002746ED"/>
    <w:rsid w:val="00274814"/>
    <w:rsid w:val="002748EF"/>
    <w:rsid w:val="00274A03"/>
    <w:rsid w:val="002752DB"/>
    <w:rsid w:val="0027547D"/>
    <w:rsid w:val="00275990"/>
    <w:rsid w:val="00275B27"/>
    <w:rsid w:val="00275C1D"/>
    <w:rsid w:val="00276062"/>
    <w:rsid w:val="0027622C"/>
    <w:rsid w:val="002762B4"/>
    <w:rsid w:val="00276A87"/>
    <w:rsid w:val="002771B8"/>
    <w:rsid w:val="0027726E"/>
    <w:rsid w:val="00277467"/>
    <w:rsid w:val="0027766D"/>
    <w:rsid w:val="0027776A"/>
    <w:rsid w:val="0027782B"/>
    <w:rsid w:val="00277FB7"/>
    <w:rsid w:val="00280261"/>
    <w:rsid w:val="0028029F"/>
    <w:rsid w:val="002802F3"/>
    <w:rsid w:val="002804B9"/>
    <w:rsid w:val="00280DE3"/>
    <w:rsid w:val="0028145C"/>
    <w:rsid w:val="00281740"/>
    <w:rsid w:val="0028179A"/>
    <w:rsid w:val="00281DB6"/>
    <w:rsid w:val="0028219D"/>
    <w:rsid w:val="002828BE"/>
    <w:rsid w:val="00282D0C"/>
    <w:rsid w:val="00282D13"/>
    <w:rsid w:val="00282D71"/>
    <w:rsid w:val="0028305F"/>
    <w:rsid w:val="00283209"/>
    <w:rsid w:val="0028328F"/>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6FF5"/>
    <w:rsid w:val="0028710B"/>
    <w:rsid w:val="002872EB"/>
    <w:rsid w:val="00287554"/>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226"/>
    <w:rsid w:val="002934BE"/>
    <w:rsid w:val="0029363C"/>
    <w:rsid w:val="00293F39"/>
    <w:rsid w:val="00293FE5"/>
    <w:rsid w:val="002942B2"/>
    <w:rsid w:val="002946E4"/>
    <w:rsid w:val="002947F4"/>
    <w:rsid w:val="00294A1A"/>
    <w:rsid w:val="00294B20"/>
    <w:rsid w:val="00294BAE"/>
    <w:rsid w:val="00294C66"/>
    <w:rsid w:val="00294EA6"/>
    <w:rsid w:val="002951D1"/>
    <w:rsid w:val="00295D6B"/>
    <w:rsid w:val="002967CB"/>
    <w:rsid w:val="00296832"/>
    <w:rsid w:val="002969F6"/>
    <w:rsid w:val="00296AFB"/>
    <w:rsid w:val="00296F25"/>
    <w:rsid w:val="002973CD"/>
    <w:rsid w:val="002974B6"/>
    <w:rsid w:val="0029762B"/>
    <w:rsid w:val="00297758"/>
    <w:rsid w:val="00297925"/>
    <w:rsid w:val="002979E0"/>
    <w:rsid w:val="00297CAC"/>
    <w:rsid w:val="00297CE4"/>
    <w:rsid w:val="002A0895"/>
    <w:rsid w:val="002A0F1A"/>
    <w:rsid w:val="002A0F6B"/>
    <w:rsid w:val="002A1403"/>
    <w:rsid w:val="002A144F"/>
    <w:rsid w:val="002A155A"/>
    <w:rsid w:val="002A1AF5"/>
    <w:rsid w:val="002A1C2E"/>
    <w:rsid w:val="002A1C85"/>
    <w:rsid w:val="002A1EF8"/>
    <w:rsid w:val="002A215C"/>
    <w:rsid w:val="002A225F"/>
    <w:rsid w:val="002A22B9"/>
    <w:rsid w:val="002A25C6"/>
    <w:rsid w:val="002A28E7"/>
    <w:rsid w:val="002A29F6"/>
    <w:rsid w:val="002A407B"/>
    <w:rsid w:val="002A444A"/>
    <w:rsid w:val="002A4475"/>
    <w:rsid w:val="002A51C7"/>
    <w:rsid w:val="002A54D0"/>
    <w:rsid w:val="002A5604"/>
    <w:rsid w:val="002A584B"/>
    <w:rsid w:val="002A592C"/>
    <w:rsid w:val="002A5CA8"/>
    <w:rsid w:val="002A6183"/>
    <w:rsid w:val="002A629D"/>
    <w:rsid w:val="002A6A5E"/>
    <w:rsid w:val="002A6E89"/>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20E"/>
    <w:rsid w:val="002B1363"/>
    <w:rsid w:val="002B1510"/>
    <w:rsid w:val="002B16EC"/>
    <w:rsid w:val="002B177B"/>
    <w:rsid w:val="002B1C25"/>
    <w:rsid w:val="002B22A3"/>
    <w:rsid w:val="002B2573"/>
    <w:rsid w:val="002B2729"/>
    <w:rsid w:val="002B2D97"/>
    <w:rsid w:val="002B2DAC"/>
    <w:rsid w:val="002B323B"/>
    <w:rsid w:val="002B3359"/>
    <w:rsid w:val="002B375E"/>
    <w:rsid w:val="002B3832"/>
    <w:rsid w:val="002B3D5C"/>
    <w:rsid w:val="002B429A"/>
    <w:rsid w:val="002B458E"/>
    <w:rsid w:val="002B4607"/>
    <w:rsid w:val="002B48DA"/>
    <w:rsid w:val="002B4AB4"/>
    <w:rsid w:val="002B4CD7"/>
    <w:rsid w:val="002B4F11"/>
    <w:rsid w:val="002B50B1"/>
    <w:rsid w:val="002B5116"/>
    <w:rsid w:val="002B51AB"/>
    <w:rsid w:val="002B55A8"/>
    <w:rsid w:val="002B55DE"/>
    <w:rsid w:val="002B57E1"/>
    <w:rsid w:val="002B581F"/>
    <w:rsid w:val="002B58FD"/>
    <w:rsid w:val="002B5B07"/>
    <w:rsid w:val="002B5C66"/>
    <w:rsid w:val="002B5F34"/>
    <w:rsid w:val="002B6267"/>
    <w:rsid w:val="002B6292"/>
    <w:rsid w:val="002B68D2"/>
    <w:rsid w:val="002B6C41"/>
    <w:rsid w:val="002B6C71"/>
    <w:rsid w:val="002B73CE"/>
    <w:rsid w:val="002B7AF8"/>
    <w:rsid w:val="002B7C8E"/>
    <w:rsid w:val="002B7CA3"/>
    <w:rsid w:val="002C0106"/>
    <w:rsid w:val="002C065E"/>
    <w:rsid w:val="002C06B0"/>
    <w:rsid w:val="002C09D6"/>
    <w:rsid w:val="002C0FEC"/>
    <w:rsid w:val="002C17A4"/>
    <w:rsid w:val="002C17C2"/>
    <w:rsid w:val="002C1810"/>
    <w:rsid w:val="002C1D23"/>
    <w:rsid w:val="002C218E"/>
    <w:rsid w:val="002C21D6"/>
    <w:rsid w:val="002C24A6"/>
    <w:rsid w:val="002C2E2E"/>
    <w:rsid w:val="002C2FA3"/>
    <w:rsid w:val="002C37E7"/>
    <w:rsid w:val="002C3848"/>
    <w:rsid w:val="002C3909"/>
    <w:rsid w:val="002C3D20"/>
    <w:rsid w:val="002C3E52"/>
    <w:rsid w:val="002C42BC"/>
    <w:rsid w:val="002C5049"/>
    <w:rsid w:val="002C5352"/>
    <w:rsid w:val="002C5826"/>
    <w:rsid w:val="002C6338"/>
    <w:rsid w:val="002C6561"/>
    <w:rsid w:val="002C67DA"/>
    <w:rsid w:val="002C67EF"/>
    <w:rsid w:val="002C6B9B"/>
    <w:rsid w:val="002C7079"/>
    <w:rsid w:val="002C721E"/>
    <w:rsid w:val="002C797F"/>
    <w:rsid w:val="002C7C4A"/>
    <w:rsid w:val="002D0138"/>
    <w:rsid w:val="002D0520"/>
    <w:rsid w:val="002D0B66"/>
    <w:rsid w:val="002D0B82"/>
    <w:rsid w:val="002D0FAA"/>
    <w:rsid w:val="002D13B8"/>
    <w:rsid w:val="002D14B6"/>
    <w:rsid w:val="002D14B7"/>
    <w:rsid w:val="002D16A7"/>
    <w:rsid w:val="002D1ECD"/>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21F"/>
    <w:rsid w:val="002D4844"/>
    <w:rsid w:val="002D497C"/>
    <w:rsid w:val="002D49E1"/>
    <w:rsid w:val="002D49EB"/>
    <w:rsid w:val="002D4F0B"/>
    <w:rsid w:val="002D525C"/>
    <w:rsid w:val="002D5308"/>
    <w:rsid w:val="002D5601"/>
    <w:rsid w:val="002D5BCC"/>
    <w:rsid w:val="002D623B"/>
    <w:rsid w:val="002D626E"/>
    <w:rsid w:val="002D65FB"/>
    <w:rsid w:val="002D663D"/>
    <w:rsid w:val="002D6764"/>
    <w:rsid w:val="002D6F27"/>
    <w:rsid w:val="002D6F8F"/>
    <w:rsid w:val="002D70A6"/>
    <w:rsid w:val="002D794A"/>
    <w:rsid w:val="002D7CB8"/>
    <w:rsid w:val="002E00E5"/>
    <w:rsid w:val="002E01B0"/>
    <w:rsid w:val="002E04A1"/>
    <w:rsid w:val="002E086B"/>
    <w:rsid w:val="002E0958"/>
    <w:rsid w:val="002E0D30"/>
    <w:rsid w:val="002E0F53"/>
    <w:rsid w:val="002E1588"/>
    <w:rsid w:val="002E1A5D"/>
    <w:rsid w:val="002E1AC6"/>
    <w:rsid w:val="002E1CCA"/>
    <w:rsid w:val="002E1D87"/>
    <w:rsid w:val="002E21F4"/>
    <w:rsid w:val="002E229D"/>
    <w:rsid w:val="002E23EA"/>
    <w:rsid w:val="002E275C"/>
    <w:rsid w:val="002E2DD7"/>
    <w:rsid w:val="002E2E61"/>
    <w:rsid w:val="002E2F40"/>
    <w:rsid w:val="002E2F67"/>
    <w:rsid w:val="002E303F"/>
    <w:rsid w:val="002E3101"/>
    <w:rsid w:val="002E3417"/>
    <w:rsid w:val="002E354A"/>
    <w:rsid w:val="002E37F6"/>
    <w:rsid w:val="002E3CE4"/>
    <w:rsid w:val="002E43E3"/>
    <w:rsid w:val="002E448E"/>
    <w:rsid w:val="002E4597"/>
    <w:rsid w:val="002E47C9"/>
    <w:rsid w:val="002E48AE"/>
    <w:rsid w:val="002E4A28"/>
    <w:rsid w:val="002E5117"/>
    <w:rsid w:val="002E521B"/>
    <w:rsid w:val="002E55AB"/>
    <w:rsid w:val="002E567A"/>
    <w:rsid w:val="002E57A2"/>
    <w:rsid w:val="002E57D7"/>
    <w:rsid w:val="002E588D"/>
    <w:rsid w:val="002E5C7B"/>
    <w:rsid w:val="002E5C8A"/>
    <w:rsid w:val="002E5EBA"/>
    <w:rsid w:val="002E62C3"/>
    <w:rsid w:val="002E6665"/>
    <w:rsid w:val="002E6D9B"/>
    <w:rsid w:val="002E6EFB"/>
    <w:rsid w:val="002E7F15"/>
    <w:rsid w:val="002F0824"/>
    <w:rsid w:val="002F08B5"/>
    <w:rsid w:val="002F09BC"/>
    <w:rsid w:val="002F0D0F"/>
    <w:rsid w:val="002F128A"/>
    <w:rsid w:val="002F128B"/>
    <w:rsid w:val="002F143E"/>
    <w:rsid w:val="002F15C8"/>
    <w:rsid w:val="002F17DB"/>
    <w:rsid w:val="002F1A7F"/>
    <w:rsid w:val="002F1C65"/>
    <w:rsid w:val="002F217F"/>
    <w:rsid w:val="002F2A05"/>
    <w:rsid w:val="002F2F99"/>
    <w:rsid w:val="002F3086"/>
    <w:rsid w:val="002F3B5E"/>
    <w:rsid w:val="002F4148"/>
    <w:rsid w:val="002F4339"/>
    <w:rsid w:val="002F44DC"/>
    <w:rsid w:val="002F474F"/>
    <w:rsid w:val="002F47DD"/>
    <w:rsid w:val="002F47FC"/>
    <w:rsid w:val="002F4841"/>
    <w:rsid w:val="002F4EFC"/>
    <w:rsid w:val="002F5048"/>
    <w:rsid w:val="002F53A2"/>
    <w:rsid w:val="002F58F0"/>
    <w:rsid w:val="002F5E73"/>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4B8"/>
    <w:rsid w:val="002F77CA"/>
    <w:rsid w:val="002F7925"/>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2EA1"/>
    <w:rsid w:val="00302FD1"/>
    <w:rsid w:val="00303429"/>
    <w:rsid w:val="003047BD"/>
    <w:rsid w:val="003050E7"/>
    <w:rsid w:val="0030555F"/>
    <w:rsid w:val="00305577"/>
    <w:rsid w:val="00305627"/>
    <w:rsid w:val="003058D9"/>
    <w:rsid w:val="003059DC"/>
    <w:rsid w:val="00305A8B"/>
    <w:rsid w:val="00305AD1"/>
    <w:rsid w:val="00305B5C"/>
    <w:rsid w:val="00305C46"/>
    <w:rsid w:val="00305CA7"/>
    <w:rsid w:val="00305CE4"/>
    <w:rsid w:val="0030603B"/>
    <w:rsid w:val="00306127"/>
    <w:rsid w:val="0030639B"/>
    <w:rsid w:val="003066C9"/>
    <w:rsid w:val="00306887"/>
    <w:rsid w:val="003068E5"/>
    <w:rsid w:val="00306E7B"/>
    <w:rsid w:val="00306EC4"/>
    <w:rsid w:val="003071E1"/>
    <w:rsid w:val="0030721F"/>
    <w:rsid w:val="0030725E"/>
    <w:rsid w:val="00307475"/>
    <w:rsid w:val="00307614"/>
    <w:rsid w:val="0030763B"/>
    <w:rsid w:val="00307650"/>
    <w:rsid w:val="003078C5"/>
    <w:rsid w:val="00307C41"/>
    <w:rsid w:val="003102EB"/>
    <w:rsid w:val="003108AC"/>
    <w:rsid w:val="003109A5"/>
    <w:rsid w:val="00310CBF"/>
    <w:rsid w:val="00310DDD"/>
    <w:rsid w:val="0031116C"/>
    <w:rsid w:val="00311479"/>
    <w:rsid w:val="00311683"/>
    <w:rsid w:val="00311746"/>
    <w:rsid w:val="00311A1D"/>
    <w:rsid w:val="00311BA3"/>
    <w:rsid w:val="00311F03"/>
    <w:rsid w:val="00312118"/>
    <w:rsid w:val="003123EE"/>
    <w:rsid w:val="00312913"/>
    <w:rsid w:val="00313A41"/>
    <w:rsid w:val="00313CD2"/>
    <w:rsid w:val="00313D09"/>
    <w:rsid w:val="00313D1E"/>
    <w:rsid w:val="00313EA2"/>
    <w:rsid w:val="0031401A"/>
    <w:rsid w:val="00314330"/>
    <w:rsid w:val="0031433F"/>
    <w:rsid w:val="00314AB8"/>
    <w:rsid w:val="00314C1C"/>
    <w:rsid w:val="00314C45"/>
    <w:rsid w:val="00314EB6"/>
    <w:rsid w:val="00315216"/>
    <w:rsid w:val="00315371"/>
    <w:rsid w:val="0031537C"/>
    <w:rsid w:val="003153A1"/>
    <w:rsid w:val="0031550A"/>
    <w:rsid w:val="0031594D"/>
    <w:rsid w:val="00315A61"/>
    <w:rsid w:val="003162BC"/>
    <w:rsid w:val="003162EB"/>
    <w:rsid w:val="0031639D"/>
    <w:rsid w:val="003164EC"/>
    <w:rsid w:val="003164FF"/>
    <w:rsid w:val="00316D4E"/>
    <w:rsid w:val="003171A6"/>
    <w:rsid w:val="003172DD"/>
    <w:rsid w:val="00317C97"/>
    <w:rsid w:val="00317FB1"/>
    <w:rsid w:val="00320086"/>
    <w:rsid w:val="003206C1"/>
    <w:rsid w:val="00320F1B"/>
    <w:rsid w:val="0032120E"/>
    <w:rsid w:val="0032146D"/>
    <w:rsid w:val="00321551"/>
    <w:rsid w:val="00321638"/>
    <w:rsid w:val="00321AC1"/>
    <w:rsid w:val="00321C0F"/>
    <w:rsid w:val="003223A6"/>
    <w:rsid w:val="0032281D"/>
    <w:rsid w:val="00322837"/>
    <w:rsid w:val="00322C57"/>
    <w:rsid w:val="00322D44"/>
    <w:rsid w:val="00323055"/>
    <w:rsid w:val="00323228"/>
    <w:rsid w:val="0032340D"/>
    <w:rsid w:val="003237F8"/>
    <w:rsid w:val="00323991"/>
    <w:rsid w:val="003239AD"/>
    <w:rsid w:val="00323A55"/>
    <w:rsid w:val="00324094"/>
    <w:rsid w:val="00324180"/>
    <w:rsid w:val="0032523B"/>
    <w:rsid w:val="00325490"/>
    <w:rsid w:val="00325DA2"/>
    <w:rsid w:val="00326484"/>
    <w:rsid w:val="00326CB0"/>
    <w:rsid w:val="00326D09"/>
    <w:rsid w:val="00326E56"/>
    <w:rsid w:val="00326F97"/>
    <w:rsid w:val="00327045"/>
    <w:rsid w:val="003270F3"/>
    <w:rsid w:val="00327108"/>
    <w:rsid w:val="00327464"/>
    <w:rsid w:val="003278B9"/>
    <w:rsid w:val="00327A3C"/>
    <w:rsid w:val="00327B02"/>
    <w:rsid w:val="00327C0E"/>
    <w:rsid w:val="00327C5D"/>
    <w:rsid w:val="00330434"/>
    <w:rsid w:val="003305B0"/>
    <w:rsid w:val="00330894"/>
    <w:rsid w:val="00330DA8"/>
    <w:rsid w:val="00330F6C"/>
    <w:rsid w:val="00331042"/>
    <w:rsid w:val="0033133A"/>
    <w:rsid w:val="00331372"/>
    <w:rsid w:val="00331576"/>
    <w:rsid w:val="00331AED"/>
    <w:rsid w:val="00331D0D"/>
    <w:rsid w:val="00331ECF"/>
    <w:rsid w:val="00332543"/>
    <w:rsid w:val="00332BF6"/>
    <w:rsid w:val="00333201"/>
    <w:rsid w:val="0033325B"/>
    <w:rsid w:val="00333516"/>
    <w:rsid w:val="00333533"/>
    <w:rsid w:val="00333872"/>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0BE"/>
    <w:rsid w:val="00336785"/>
    <w:rsid w:val="003367D1"/>
    <w:rsid w:val="00336A4D"/>
    <w:rsid w:val="00336C6B"/>
    <w:rsid w:val="00336E9D"/>
    <w:rsid w:val="0033786B"/>
    <w:rsid w:val="00337DDB"/>
    <w:rsid w:val="00337E8F"/>
    <w:rsid w:val="00337EC3"/>
    <w:rsid w:val="00337F2A"/>
    <w:rsid w:val="003401E8"/>
    <w:rsid w:val="00340996"/>
    <w:rsid w:val="003409D2"/>
    <w:rsid w:val="00340AF6"/>
    <w:rsid w:val="00340F0B"/>
    <w:rsid w:val="00340F3E"/>
    <w:rsid w:val="003411E6"/>
    <w:rsid w:val="003411EC"/>
    <w:rsid w:val="003411FB"/>
    <w:rsid w:val="00341248"/>
    <w:rsid w:val="003414CB"/>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6FFB"/>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0C"/>
    <w:rsid w:val="00355CB1"/>
    <w:rsid w:val="0035604B"/>
    <w:rsid w:val="0035614E"/>
    <w:rsid w:val="00356A40"/>
    <w:rsid w:val="00357103"/>
    <w:rsid w:val="0035736B"/>
    <w:rsid w:val="00357440"/>
    <w:rsid w:val="003575AD"/>
    <w:rsid w:val="00357602"/>
    <w:rsid w:val="00357B9B"/>
    <w:rsid w:val="00360453"/>
    <w:rsid w:val="003604A3"/>
    <w:rsid w:val="00360722"/>
    <w:rsid w:val="003608B9"/>
    <w:rsid w:val="00361005"/>
    <w:rsid w:val="0036138C"/>
    <w:rsid w:val="00361569"/>
    <w:rsid w:val="003615E8"/>
    <w:rsid w:val="003616FB"/>
    <w:rsid w:val="00361799"/>
    <w:rsid w:val="00361809"/>
    <w:rsid w:val="003619BC"/>
    <w:rsid w:val="00361A59"/>
    <w:rsid w:val="00361B36"/>
    <w:rsid w:val="00361B39"/>
    <w:rsid w:val="00361DE0"/>
    <w:rsid w:val="003620B4"/>
    <w:rsid w:val="003620BF"/>
    <w:rsid w:val="00362214"/>
    <w:rsid w:val="0036227E"/>
    <w:rsid w:val="003626A1"/>
    <w:rsid w:val="00362719"/>
    <w:rsid w:val="00362950"/>
    <w:rsid w:val="00362AEF"/>
    <w:rsid w:val="00362C13"/>
    <w:rsid w:val="0036333E"/>
    <w:rsid w:val="00363652"/>
    <w:rsid w:val="00363AF5"/>
    <w:rsid w:val="00363B86"/>
    <w:rsid w:val="00363DAD"/>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6B0B"/>
    <w:rsid w:val="00366D25"/>
    <w:rsid w:val="00367588"/>
    <w:rsid w:val="00367624"/>
    <w:rsid w:val="0036784A"/>
    <w:rsid w:val="00367B70"/>
    <w:rsid w:val="0037027E"/>
    <w:rsid w:val="00371524"/>
    <w:rsid w:val="003718CD"/>
    <w:rsid w:val="00371FD8"/>
    <w:rsid w:val="003720F9"/>
    <w:rsid w:val="00372509"/>
    <w:rsid w:val="00372547"/>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4C0"/>
    <w:rsid w:val="00377644"/>
    <w:rsid w:val="00377792"/>
    <w:rsid w:val="00377E39"/>
    <w:rsid w:val="00377FEB"/>
    <w:rsid w:val="0038063A"/>
    <w:rsid w:val="00380AFE"/>
    <w:rsid w:val="00380BD9"/>
    <w:rsid w:val="00381350"/>
    <w:rsid w:val="003813DE"/>
    <w:rsid w:val="003818C9"/>
    <w:rsid w:val="00381C20"/>
    <w:rsid w:val="00382938"/>
    <w:rsid w:val="003829AB"/>
    <w:rsid w:val="00382AB7"/>
    <w:rsid w:val="00382C44"/>
    <w:rsid w:val="003833CB"/>
    <w:rsid w:val="0038367C"/>
    <w:rsid w:val="0038398D"/>
    <w:rsid w:val="00383F9F"/>
    <w:rsid w:val="0038406C"/>
    <w:rsid w:val="003840CE"/>
    <w:rsid w:val="003848FE"/>
    <w:rsid w:val="003849D3"/>
    <w:rsid w:val="00384B0E"/>
    <w:rsid w:val="00384C2B"/>
    <w:rsid w:val="00384E7E"/>
    <w:rsid w:val="00384FD3"/>
    <w:rsid w:val="00385367"/>
    <w:rsid w:val="003854B2"/>
    <w:rsid w:val="0038578A"/>
    <w:rsid w:val="003858CD"/>
    <w:rsid w:val="00385993"/>
    <w:rsid w:val="003863A6"/>
    <w:rsid w:val="00386ABB"/>
    <w:rsid w:val="00386AE7"/>
    <w:rsid w:val="00386E12"/>
    <w:rsid w:val="00387168"/>
    <w:rsid w:val="00387455"/>
    <w:rsid w:val="003876CD"/>
    <w:rsid w:val="0038791C"/>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653"/>
    <w:rsid w:val="00393873"/>
    <w:rsid w:val="003939A9"/>
    <w:rsid w:val="00393C16"/>
    <w:rsid w:val="00393EBA"/>
    <w:rsid w:val="00393EBB"/>
    <w:rsid w:val="003942AA"/>
    <w:rsid w:val="003942D6"/>
    <w:rsid w:val="00394615"/>
    <w:rsid w:val="00394886"/>
    <w:rsid w:val="00394955"/>
    <w:rsid w:val="00394B48"/>
    <w:rsid w:val="0039521D"/>
    <w:rsid w:val="003953A2"/>
    <w:rsid w:val="00395453"/>
    <w:rsid w:val="00395806"/>
    <w:rsid w:val="0039580C"/>
    <w:rsid w:val="00395925"/>
    <w:rsid w:val="00395A7B"/>
    <w:rsid w:val="003962A9"/>
    <w:rsid w:val="003962AD"/>
    <w:rsid w:val="00396333"/>
    <w:rsid w:val="0039640A"/>
    <w:rsid w:val="00396597"/>
    <w:rsid w:val="00396AF0"/>
    <w:rsid w:val="003973A6"/>
    <w:rsid w:val="00397A35"/>
    <w:rsid w:val="00397A78"/>
    <w:rsid w:val="00397C1D"/>
    <w:rsid w:val="00397CB3"/>
    <w:rsid w:val="00397E84"/>
    <w:rsid w:val="00397EE8"/>
    <w:rsid w:val="003A03F6"/>
    <w:rsid w:val="003A07DA"/>
    <w:rsid w:val="003A0849"/>
    <w:rsid w:val="003A0A20"/>
    <w:rsid w:val="003A0DC5"/>
    <w:rsid w:val="003A0EB4"/>
    <w:rsid w:val="003A16B3"/>
    <w:rsid w:val="003A1B6B"/>
    <w:rsid w:val="003A1BC1"/>
    <w:rsid w:val="003A1BD9"/>
    <w:rsid w:val="003A1DBE"/>
    <w:rsid w:val="003A24AE"/>
    <w:rsid w:val="003A24CE"/>
    <w:rsid w:val="003A25A4"/>
    <w:rsid w:val="003A28A7"/>
    <w:rsid w:val="003A2C53"/>
    <w:rsid w:val="003A3583"/>
    <w:rsid w:val="003A36EC"/>
    <w:rsid w:val="003A3844"/>
    <w:rsid w:val="003A38C2"/>
    <w:rsid w:val="003A3A45"/>
    <w:rsid w:val="003A3BC6"/>
    <w:rsid w:val="003A3C0B"/>
    <w:rsid w:val="003A3E0F"/>
    <w:rsid w:val="003A3EAF"/>
    <w:rsid w:val="003A3F40"/>
    <w:rsid w:val="003A4478"/>
    <w:rsid w:val="003A4A40"/>
    <w:rsid w:val="003A4AAD"/>
    <w:rsid w:val="003A4CFF"/>
    <w:rsid w:val="003A575D"/>
    <w:rsid w:val="003A577B"/>
    <w:rsid w:val="003A59BE"/>
    <w:rsid w:val="003A5ABF"/>
    <w:rsid w:val="003A6231"/>
    <w:rsid w:val="003A63DA"/>
    <w:rsid w:val="003A7477"/>
    <w:rsid w:val="003A7666"/>
    <w:rsid w:val="003A785C"/>
    <w:rsid w:val="003A7A02"/>
    <w:rsid w:val="003A7A8E"/>
    <w:rsid w:val="003B0401"/>
    <w:rsid w:val="003B054F"/>
    <w:rsid w:val="003B058A"/>
    <w:rsid w:val="003B0760"/>
    <w:rsid w:val="003B0846"/>
    <w:rsid w:val="003B0A2C"/>
    <w:rsid w:val="003B0BDF"/>
    <w:rsid w:val="003B0E60"/>
    <w:rsid w:val="003B1125"/>
    <w:rsid w:val="003B13DA"/>
    <w:rsid w:val="003B13E6"/>
    <w:rsid w:val="003B1911"/>
    <w:rsid w:val="003B1B19"/>
    <w:rsid w:val="003B1B6F"/>
    <w:rsid w:val="003B20F3"/>
    <w:rsid w:val="003B2275"/>
    <w:rsid w:val="003B22A5"/>
    <w:rsid w:val="003B29F4"/>
    <w:rsid w:val="003B2B80"/>
    <w:rsid w:val="003B2E95"/>
    <w:rsid w:val="003B3033"/>
    <w:rsid w:val="003B32CF"/>
    <w:rsid w:val="003B34F2"/>
    <w:rsid w:val="003B38E4"/>
    <w:rsid w:val="003B39A6"/>
    <w:rsid w:val="003B40D9"/>
    <w:rsid w:val="003B4496"/>
    <w:rsid w:val="003B46BC"/>
    <w:rsid w:val="003B4715"/>
    <w:rsid w:val="003B49FD"/>
    <w:rsid w:val="003B532D"/>
    <w:rsid w:val="003B573C"/>
    <w:rsid w:val="003B57E0"/>
    <w:rsid w:val="003B588E"/>
    <w:rsid w:val="003B5B64"/>
    <w:rsid w:val="003B5FB5"/>
    <w:rsid w:val="003B6097"/>
    <w:rsid w:val="003B612B"/>
    <w:rsid w:val="003B6272"/>
    <w:rsid w:val="003B6321"/>
    <w:rsid w:val="003B6389"/>
    <w:rsid w:val="003B653B"/>
    <w:rsid w:val="003B6973"/>
    <w:rsid w:val="003B69F5"/>
    <w:rsid w:val="003B6FD2"/>
    <w:rsid w:val="003B7083"/>
    <w:rsid w:val="003B7106"/>
    <w:rsid w:val="003B7378"/>
    <w:rsid w:val="003B73B6"/>
    <w:rsid w:val="003B77AF"/>
    <w:rsid w:val="003B7B83"/>
    <w:rsid w:val="003B7CD5"/>
    <w:rsid w:val="003B7D77"/>
    <w:rsid w:val="003C004D"/>
    <w:rsid w:val="003C0236"/>
    <w:rsid w:val="003C0245"/>
    <w:rsid w:val="003C093C"/>
    <w:rsid w:val="003C0BDE"/>
    <w:rsid w:val="003C0D95"/>
    <w:rsid w:val="003C18B9"/>
    <w:rsid w:val="003C1AB4"/>
    <w:rsid w:val="003C1E6E"/>
    <w:rsid w:val="003C2310"/>
    <w:rsid w:val="003C242F"/>
    <w:rsid w:val="003C24D2"/>
    <w:rsid w:val="003C28D2"/>
    <w:rsid w:val="003C2A4A"/>
    <w:rsid w:val="003C2D48"/>
    <w:rsid w:val="003C2EE5"/>
    <w:rsid w:val="003C32EF"/>
    <w:rsid w:val="003C33AE"/>
    <w:rsid w:val="003C34AB"/>
    <w:rsid w:val="003C380D"/>
    <w:rsid w:val="003C3BD9"/>
    <w:rsid w:val="003C3BEF"/>
    <w:rsid w:val="003C3CF5"/>
    <w:rsid w:val="003C3EBB"/>
    <w:rsid w:val="003C3ED8"/>
    <w:rsid w:val="003C40C6"/>
    <w:rsid w:val="003C465B"/>
    <w:rsid w:val="003C4BA5"/>
    <w:rsid w:val="003C4DE6"/>
    <w:rsid w:val="003C557D"/>
    <w:rsid w:val="003C5611"/>
    <w:rsid w:val="003C5616"/>
    <w:rsid w:val="003C5AAF"/>
    <w:rsid w:val="003C5BE7"/>
    <w:rsid w:val="003C5C07"/>
    <w:rsid w:val="003C5C1E"/>
    <w:rsid w:val="003C5C39"/>
    <w:rsid w:val="003C5CDE"/>
    <w:rsid w:val="003C5E44"/>
    <w:rsid w:val="003C5F2D"/>
    <w:rsid w:val="003C61AC"/>
    <w:rsid w:val="003C6443"/>
    <w:rsid w:val="003C662B"/>
    <w:rsid w:val="003C6C3E"/>
    <w:rsid w:val="003C6C8B"/>
    <w:rsid w:val="003C6D86"/>
    <w:rsid w:val="003C7D82"/>
    <w:rsid w:val="003C7FE0"/>
    <w:rsid w:val="003D00D3"/>
    <w:rsid w:val="003D0284"/>
    <w:rsid w:val="003D0792"/>
    <w:rsid w:val="003D07C3"/>
    <w:rsid w:val="003D0CAE"/>
    <w:rsid w:val="003D0F1E"/>
    <w:rsid w:val="003D10F6"/>
    <w:rsid w:val="003D1179"/>
    <w:rsid w:val="003D1746"/>
    <w:rsid w:val="003D1A15"/>
    <w:rsid w:val="003D1B07"/>
    <w:rsid w:val="003D22E2"/>
    <w:rsid w:val="003D2A61"/>
    <w:rsid w:val="003D2B32"/>
    <w:rsid w:val="003D2B79"/>
    <w:rsid w:val="003D3045"/>
    <w:rsid w:val="003D37E9"/>
    <w:rsid w:val="003D3A20"/>
    <w:rsid w:val="003D3EC4"/>
    <w:rsid w:val="003D43E5"/>
    <w:rsid w:val="003D4452"/>
    <w:rsid w:val="003D4726"/>
    <w:rsid w:val="003D49E0"/>
    <w:rsid w:val="003D5352"/>
    <w:rsid w:val="003D5636"/>
    <w:rsid w:val="003D5790"/>
    <w:rsid w:val="003D5AD8"/>
    <w:rsid w:val="003D5C8A"/>
    <w:rsid w:val="003D5D3E"/>
    <w:rsid w:val="003D606C"/>
    <w:rsid w:val="003D6254"/>
    <w:rsid w:val="003D62D7"/>
    <w:rsid w:val="003D68DF"/>
    <w:rsid w:val="003D6B4F"/>
    <w:rsid w:val="003D6E32"/>
    <w:rsid w:val="003D7214"/>
    <w:rsid w:val="003D74E4"/>
    <w:rsid w:val="003D75EF"/>
    <w:rsid w:val="003D79E8"/>
    <w:rsid w:val="003D79F7"/>
    <w:rsid w:val="003D7D69"/>
    <w:rsid w:val="003E0839"/>
    <w:rsid w:val="003E10C4"/>
    <w:rsid w:val="003E126A"/>
    <w:rsid w:val="003E1758"/>
    <w:rsid w:val="003E1CF1"/>
    <w:rsid w:val="003E231C"/>
    <w:rsid w:val="003E233C"/>
    <w:rsid w:val="003E2659"/>
    <w:rsid w:val="003E2718"/>
    <w:rsid w:val="003E33EA"/>
    <w:rsid w:val="003E3442"/>
    <w:rsid w:val="003E34C5"/>
    <w:rsid w:val="003E3681"/>
    <w:rsid w:val="003E37F2"/>
    <w:rsid w:val="003E3801"/>
    <w:rsid w:val="003E437D"/>
    <w:rsid w:val="003E44D6"/>
    <w:rsid w:val="003E4608"/>
    <w:rsid w:val="003E4901"/>
    <w:rsid w:val="003E5873"/>
    <w:rsid w:val="003E5A3F"/>
    <w:rsid w:val="003E5AB6"/>
    <w:rsid w:val="003E5E02"/>
    <w:rsid w:val="003E69A6"/>
    <w:rsid w:val="003E6D7A"/>
    <w:rsid w:val="003E73D9"/>
    <w:rsid w:val="003E76A1"/>
    <w:rsid w:val="003E785F"/>
    <w:rsid w:val="003E7919"/>
    <w:rsid w:val="003E7B49"/>
    <w:rsid w:val="003E7E36"/>
    <w:rsid w:val="003F047A"/>
    <w:rsid w:val="003F0756"/>
    <w:rsid w:val="003F0852"/>
    <w:rsid w:val="003F0916"/>
    <w:rsid w:val="003F0E32"/>
    <w:rsid w:val="003F0E9E"/>
    <w:rsid w:val="003F115C"/>
    <w:rsid w:val="003F1292"/>
    <w:rsid w:val="003F136A"/>
    <w:rsid w:val="003F13EE"/>
    <w:rsid w:val="003F14F0"/>
    <w:rsid w:val="003F1C03"/>
    <w:rsid w:val="003F2072"/>
    <w:rsid w:val="003F2394"/>
    <w:rsid w:val="003F26FD"/>
    <w:rsid w:val="003F29E5"/>
    <w:rsid w:val="003F2CE5"/>
    <w:rsid w:val="003F3087"/>
    <w:rsid w:val="003F3936"/>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38F"/>
    <w:rsid w:val="003F7438"/>
    <w:rsid w:val="003F7870"/>
    <w:rsid w:val="003F79F4"/>
    <w:rsid w:val="003F7BB3"/>
    <w:rsid w:val="003F7CB1"/>
    <w:rsid w:val="003F7D41"/>
    <w:rsid w:val="0040009C"/>
    <w:rsid w:val="0040014B"/>
    <w:rsid w:val="004006D6"/>
    <w:rsid w:val="00400744"/>
    <w:rsid w:val="004007BF"/>
    <w:rsid w:val="00400952"/>
    <w:rsid w:val="00400E10"/>
    <w:rsid w:val="00400EE3"/>
    <w:rsid w:val="00400FAB"/>
    <w:rsid w:val="00401224"/>
    <w:rsid w:val="004014AA"/>
    <w:rsid w:val="004015B5"/>
    <w:rsid w:val="0040161C"/>
    <w:rsid w:val="00401781"/>
    <w:rsid w:val="00401978"/>
    <w:rsid w:val="00401CA2"/>
    <w:rsid w:val="00401F02"/>
    <w:rsid w:val="0040200D"/>
    <w:rsid w:val="0040204C"/>
    <w:rsid w:val="004029A5"/>
    <w:rsid w:val="004029CF"/>
    <w:rsid w:val="00402A20"/>
    <w:rsid w:val="00402DE5"/>
    <w:rsid w:val="00402ED8"/>
    <w:rsid w:val="00403008"/>
    <w:rsid w:val="00403625"/>
    <w:rsid w:val="00403778"/>
    <w:rsid w:val="0040387F"/>
    <w:rsid w:val="00403E7E"/>
    <w:rsid w:val="00403E98"/>
    <w:rsid w:val="00403FD6"/>
    <w:rsid w:val="00404098"/>
    <w:rsid w:val="004041EE"/>
    <w:rsid w:val="00404CAF"/>
    <w:rsid w:val="00404D92"/>
    <w:rsid w:val="00404DF7"/>
    <w:rsid w:val="00405167"/>
    <w:rsid w:val="004051BB"/>
    <w:rsid w:val="0040535B"/>
    <w:rsid w:val="0040568A"/>
    <w:rsid w:val="004058FD"/>
    <w:rsid w:val="004059B4"/>
    <w:rsid w:val="00405A66"/>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8D5"/>
    <w:rsid w:val="00412A25"/>
    <w:rsid w:val="00412D02"/>
    <w:rsid w:val="00412FB3"/>
    <w:rsid w:val="0041308B"/>
    <w:rsid w:val="0041315F"/>
    <w:rsid w:val="004131EF"/>
    <w:rsid w:val="00413393"/>
    <w:rsid w:val="004136E1"/>
    <w:rsid w:val="004137B5"/>
    <w:rsid w:val="004137BC"/>
    <w:rsid w:val="00413D23"/>
    <w:rsid w:val="00413D99"/>
    <w:rsid w:val="00414643"/>
    <w:rsid w:val="00414B19"/>
    <w:rsid w:val="00414E60"/>
    <w:rsid w:val="00415299"/>
    <w:rsid w:val="004153D1"/>
    <w:rsid w:val="00415548"/>
    <w:rsid w:val="00415737"/>
    <w:rsid w:val="00415796"/>
    <w:rsid w:val="00415A84"/>
    <w:rsid w:val="00415AB8"/>
    <w:rsid w:val="00415BF2"/>
    <w:rsid w:val="00415CEF"/>
    <w:rsid w:val="00415CF2"/>
    <w:rsid w:val="00415F7C"/>
    <w:rsid w:val="0041617E"/>
    <w:rsid w:val="00416503"/>
    <w:rsid w:val="0041669B"/>
    <w:rsid w:val="004167FD"/>
    <w:rsid w:val="00416E80"/>
    <w:rsid w:val="00417BB9"/>
    <w:rsid w:val="00417ECC"/>
    <w:rsid w:val="00417F5C"/>
    <w:rsid w:val="00420266"/>
    <w:rsid w:val="0042035C"/>
    <w:rsid w:val="00420736"/>
    <w:rsid w:val="004208A9"/>
    <w:rsid w:val="00420D51"/>
    <w:rsid w:val="004211E3"/>
    <w:rsid w:val="004214D1"/>
    <w:rsid w:val="00421559"/>
    <w:rsid w:val="0042157F"/>
    <w:rsid w:val="00421BCE"/>
    <w:rsid w:val="00421BFA"/>
    <w:rsid w:val="00421C94"/>
    <w:rsid w:val="00421D15"/>
    <w:rsid w:val="00421DA3"/>
    <w:rsid w:val="00421F9C"/>
    <w:rsid w:val="004224B4"/>
    <w:rsid w:val="0042282A"/>
    <w:rsid w:val="0042298F"/>
    <w:rsid w:val="004229EF"/>
    <w:rsid w:val="00422F31"/>
    <w:rsid w:val="00422F45"/>
    <w:rsid w:val="0042343D"/>
    <w:rsid w:val="00423527"/>
    <w:rsid w:val="004235DD"/>
    <w:rsid w:val="004237AC"/>
    <w:rsid w:val="004242A5"/>
    <w:rsid w:val="004242AB"/>
    <w:rsid w:val="004243A7"/>
    <w:rsid w:val="004244AE"/>
    <w:rsid w:val="00424C2A"/>
    <w:rsid w:val="00424EBD"/>
    <w:rsid w:val="00424EC0"/>
    <w:rsid w:val="00424F3B"/>
    <w:rsid w:val="00425624"/>
    <w:rsid w:val="004256BE"/>
    <w:rsid w:val="004256E2"/>
    <w:rsid w:val="0042584E"/>
    <w:rsid w:val="004258C2"/>
    <w:rsid w:val="00425A76"/>
    <w:rsid w:val="0042616F"/>
    <w:rsid w:val="004262F7"/>
    <w:rsid w:val="0042633B"/>
    <w:rsid w:val="0042672E"/>
    <w:rsid w:val="004267A0"/>
    <w:rsid w:val="00426A24"/>
    <w:rsid w:val="00426AC7"/>
    <w:rsid w:val="00426D62"/>
    <w:rsid w:val="00426D7D"/>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1E24"/>
    <w:rsid w:val="00432128"/>
    <w:rsid w:val="00432658"/>
    <w:rsid w:val="00432AED"/>
    <w:rsid w:val="00432DDA"/>
    <w:rsid w:val="00433498"/>
    <w:rsid w:val="004336E8"/>
    <w:rsid w:val="004339FD"/>
    <w:rsid w:val="004340E9"/>
    <w:rsid w:val="00434280"/>
    <w:rsid w:val="004342B7"/>
    <w:rsid w:val="0043451B"/>
    <w:rsid w:val="00434690"/>
    <w:rsid w:val="00434A75"/>
    <w:rsid w:val="00434B54"/>
    <w:rsid w:val="004366FB"/>
    <w:rsid w:val="00436B13"/>
    <w:rsid w:val="004370D5"/>
    <w:rsid w:val="004372B8"/>
    <w:rsid w:val="004373D8"/>
    <w:rsid w:val="00437915"/>
    <w:rsid w:val="00437E2E"/>
    <w:rsid w:val="004400C7"/>
    <w:rsid w:val="0044013C"/>
    <w:rsid w:val="00440144"/>
    <w:rsid w:val="0044020D"/>
    <w:rsid w:val="0044035A"/>
    <w:rsid w:val="004407C5"/>
    <w:rsid w:val="00440AA0"/>
    <w:rsid w:val="00440AF3"/>
    <w:rsid w:val="0044102C"/>
    <w:rsid w:val="0044134B"/>
    <w:rsid w:val="0044139D"/>
    <w:rsid w:val="00441C5C"/>
    <w:rsid w:val="00441D06"/>
    <w:rsid w:val="00441D84"/>
    <w:rsid w:val="0044217D"/>
    <w:rsid w:val="00442550"/>
    <w:rsid w:val="004428B9"/>
    <w:rsid w:val="00442E36"/>
    <w:rsid w:val="00442FAD"/>
    <w:rsid w:val="00442FC4"/>
    <w:rsid w:val="00442FCC"/>
    <w:rsid w:val="00443B98"/>
    <w:rsid w:val="00444128"/>
    <w:rsid w:val="00444717"/>
    <w:rsid w:val="00444A67"/>
    <w:rsid w:val="00444BEB"/>
    <w:rsid w:val="00444C97"/>
    <w:rsid w:val="00444D3A"/>
    <w:rsid w:val="00445475"/>
    <w:rsid w:val="0044582B"/>
    <w:rsid w:val="004459FF"/>
    <w:rsid w:val="00445A72"/>
    <w:rsid w:val="00445D55"/>
    <w:rsid w:val="00446077"/>
    <w:rsid w:val="004465AD"/>
    <w:rsid w:val="00446942"/>
    <w:rsid w:val="00446A81"/>
    <w:rsid w:val="00446CB8"/>
    <w:rsid w:val="00446DAC"/>
    <w:rsid w:val="00446F49"/>
    <w:rsid w:val="004474E8"/>
    <w:rsid w:val="00447662"/>
    <w:rsid w:val="00447704"/>
    <w:rsid w:val="004477FD"/>
    <w:rsid w:val="004478B5"/>
    <w:rsid w:val="00447C3F"/>
    <w:rsid w:val="00447F71"/>
    <w:rsid w:val="00450180"/>
    <w:rsid w:val="00450255"/>
    <w:rsid w:val="004505C9"/>
    <w:rsid w:val="00450764"/>
    <w:rsid w:val="00450ACE"/>
    <w:rsid w:val="00450F1A"/>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5E26"/>
    <w:rsid w:val="00456424"/>
    <w:rsid w:val="004567CF"/>
    <w:rsid w:val="00456BB9"/>
    <w:rsid w:val="004573E8"/>
    <w:rsid w:val="0045757B"/>
    <w:rsid w:val="00457648"/>
    <w:rsid w:val="00457747"/>
    <w:rsid w:val="00457A2D"/>
    <w:rsid w:val="00457A66"/>
    <w:rsid w:val="00457B93"/>
    <w:rsid w:val="00457C7F"/>
    <w:rsid w:val="00457FD5"/>
    <w:rsid w:val="004603D7"/>
    <w:rsid w:val="0046069C"/>
    <w:rsid w:val="004606A0"/>
    <w:rsid w:val="004606E7"/>
    <w:rsid w:val="004608A0"/>
    <w:rsid w:val="00460995"/>
    <w:rsid w:val="004609D5"/>
    <w:rsid w:val="00460EBD"/>
    <w:rsid w:val="0046107F"/>
    <w:rsid w:val="0046139D"/>
    <w:rsid w:val="00461427"/>
    <w:rsid w:val="00461887"/>
    <w:rsid w:val="00461CF7"/>
    <w:rsid w:val="00461F1B"/>
    <w:rsid w:val="00461F8E"/>
    <w:rsid w:val="00461FA4"/>
    <w:rsid w:val="0046211B"/>
    <w:rsid w:val="004625F6"/>
    <w:rsid w:val="00462D90"/>
    <w:rsid w:val="004634A2"/>
    <w:rsid w:val="00464012"/>
    <w:rsid w:val="004640F5"/>
    <w:rsid w:val="0046420F"/>
    <w:rsid w:val="00464339"/>
    <w:rsid w:val="00464556"/>
    <w:rsid w:val="004647F6"/>
    <w:rsid w:val="00464885"/>
    <w:rsid w:val="00464B26"/>
    <w:rsid w:val="00464C6B"/>
    <w:rsid w:val="00464FFC"/>
    <w:rsid w:val="00465192"/>
    <w:rsid w:val="004651DB"/>
    <w:rsid w:val="004654A0"/>
    <w:rsid w:val="004655C6"/>
    <w:rsid w:val="00465927"/>
    <w:rsid w:val="00465982"/>
    <w:rsid w:val="00465B8D"/>
    <w:rsid w:val="00465D42"/>
    <w:rsid w:val="004661AB"/>
    <w:rsid w:val="00466685"/>
    <w:rsid w:val="00466776"/>
    <w:rsid w:val="00466892"/>
    <w:rsid w:val="004669EA"/>
    <w:rsid w:val="00466DF7"/>
    <w:rsid w:val="00467004"/>
    <w:rsid w:val="00467163"/>
    <w:rsid w:val="004673C3"/>
    <w:rsid w:val="004676C9"/>
    <w:rsid w:val="00467E9F"/>
    <w:rsid w:val="00470796"/>
    <w:rsid w:val="004708B3"/>
    <w:rsid w:val="00470B9F"/>
    <w:rsid w:val="00470F01"/>
    <w:rsid w:val="00470F49"/>
    <w:rsid w:val="004714CA"/>
    <w:rsid w:val="004715AF"/>
    <w:rsid w:val="004716BE"/>
    <w:rsid w:val="00471923"/>
    <w:rsid w:val="00471A80"/>
    <w:rsid w:val="00471B9E"/>
    <w:rsid w:val="00471E3D"/>
    <w:rsid w:val="0047201B"/>
    <w:rsid w:val="0047205A"/>
    <w:rsid w:val="004721F1"/>
    <w:rsid w:val="004722F4"/>
    <w:rsid w:val="0047235C"/>
    <w:rsid w:val="004724D5"/>
    <w:rsid w:val="00472531"/>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0FC"/>
    <w:rsid w:val="0047530E"/>
    <w:rsid w:val="004754C5"/>
    <w:rsid w:val="0047598B"/>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1D"/>
    <w:rsid w:val="00480BAA"/>
    <w:rsid w:val="00480DE8"/>
    <w:rsid w:val="00480EA7"/>
    <w:rsid w:val="00481269"/>
    <w:rsid w:val="0048132C"/>
    <w:rsid w:val="0048136E"/>
    <w:rsid w:val="00481475"/>
    <w:rsid w:val="00481BC7"/>
    <w:rsid w:val="00481D0D"/>
    <w:rsid w:val="00481DD2"/>
    <w:rsid w:val="00481E9E"/>
    <w:rsid w:val="00483119"/>
    <w:rsid w:val="004831F8"/>
    <w:rsid w:val="004832B8"/>
    <w:rsid w:val="00483EB2"/>
    <w:rsid w:val="00484301"/>
    <w:rsid w:val="00484770"/>
    <w:rsid w:val="00484980"/>
    <w:rsid w:val="00484A66"/>
    <w:rsid w:val="00484BB3"/>
    <w:rsid w:val="00484E76"/>
    <w:rsid w:val="004850CE"/>
    <w:rsid w:val="00485404"/>
    <w:rsid w:val="00485459"/>
    <w:rsid w:val="0048547C"/>
    <w:rsid w:val="004855AE"/>
    <w:rsid w:val="00485669"/>
    <w:rsid w:val="00485BF4"/>
    <w:rsid w:val="004866AA"/>
    <w:rsid w:val="00486A9D"/>
    <w:rsid w:val="00487085"/>
    <w:rsid w:val="004874DB"/>
    <w:rsid w:val="004875EC"/>
    <w:rsid w:val="004877B3"/>
    <w:rsid w:val="004877B7"/>
    <w:rsid w:val="004877F6"/>
    <w:rsid w:val="0048780B"/>
    <w:rsid w:val="00487ABA"/>
    <w:rsid w:val="00487D16"/>
    <w:rsid w:val="00487D54"/>
    <w:rsid w:val="00487FBD"/>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35A1"/>
    <w:rsid w:val="00493CFA"/>
    <w:rsid w:val="0049417B"/>
    <w:rsid w:val="00494248"/>
    <w:rsid w:val="004942DA"/>
    <w:rsid w:val="00494699"/>
    <w:rsid w:val="00494849"/>
    <w:rsid w:val="004948A5"/>
    <w:rsid w:val="00494A57"/>
    <w:rsid w:val="00494BDF"/>
    <w:rsid w:val="004953EF"/>
    <w:rsid w:val="004954EE"/>
    <w:rsid w:val="004960F0"/>
    <w:rsid w:val="004968A7"/>
    <w:rsid w:val="0049691D"/>
    <w:rsid w:val="00496A0A"/>
    <w:rsid w:val="00496B64"/>
    <w:rsid w:val="00496C30"/>
    <w:rsid w:val="00496CD2"/>
    <w:rsid w:val="00496D0A"/>
    <w:rsid w:val="00496DAF"/>
    <w:rsid w:val="00496EBF"/>
    <w:rsid w:val="004970DF"/>
    <w:rsid w:val="00497595"/>
    <w:rsid w:val="0049784F"/>
    <w:rsid w:val="004979B1"/>
    <w:rsid w:val="00497A5E"/>
    <w:rsid w:val="004A01BF"/>
    <w:rsid w:val="004A036F"/>
    <w:rsid w:val="004A0460"/>
    <w:rsid w:val="004A069A"/>
    <w:rsid w:val="004A074C"/>
    <w:rsid w:val="004A0DB6"/>
    <w:rsid w:val="004A0E38"/>
    <w:rsid w:val="004A0E3C"/>
    <w:rsid w:val="004A13B3"/>
    <w:rsid w:val="004A17A3"/>
    <w:rsid w:val="004A18D7"/>
    <w:rsid w:val="004A1ADE"/>
    <w:rsid w:val="004A1B7E"/>
    <w:rsid w:val="004A1EC1"/>
    <w:rsid w:val="004A2A77"/>
    <w:rsid w:val="004A2BAC"/>
    <w:rsid w:val="004A2D4D"/>
    <w:rsid w:val="004A2F48"/>
    <w:rsid w:val="004A30B2"/>
    <w:rsid w:val="004A3113"/>
    <w:rsid w:val="004A3732"/>
    <w:rsid w:val="004A3B1B"/>
    <w:rsid w:val="004A3C2C"/>
    <w:rsid w:val="004A3F71"/>
    <w:rsid w:val="004A402F"/>
    <w:rsid w:val="004A4191"/>
    <w:rsid w:val="004A41B0"/>
    <w:rsid w:val="004A41E6"/>
    <w:rsid w:val="004A4542"/>
    <w:rsid w:val="004A4548"/>
    <w:rsid w:val="004A4680"/>
    <w:rsid w:val="004A4851"/>
    <w:rsid w:val="004A4A53"/>
    <w:rsid w:val="004A4B14"/>
    <w:rsid w:val="004A4BEF"/>
    <w:rsid w:val="004A515F"/>
    <w:rsid w:val="004A5279"/>
    <w:rsid w:val="004A59F4"/>
    <w:rsid w:val="004A5CE7"/>
    <w:rsid w:val="004A60FE"/>
    <w:rsid w:val="004A613A"/>
    <w:rsid w:val="004A631D"/>
    <w:rsid w:val="004A645B"/>
    <w:rsid w:val="004A699A"/>
    <w:rsid w:val="004A6BFB"/>
    <w:rsid w:val="004A704B"/>
    <w:rsid w:val="004A7357"/>
    <w:rsid w:val="004A7403"/>
    <w:rsid w:val="004A7441"/>
    <w:rsid w:val="004A76C3"/>
    <w:rsid w:val="004A77C1"/>
    <w:rsid w:val="004A7A8F"/>
    <w:rsid w:val="004A7A99"/>
    <w:rsid w:val="004A7D28"/>
    <w:rsid w:val="004B01B5"/>
    <w:rsid w:val="004B024F"/>
    <w:rsid w:val="004B0305"/>
    <w:rsid w:val="004B0333"/>
    <w:rsid w:val="004B07A9"/>
    <w:rsid w:val="004B0A3D"/>
    <w:rsid w:val="004B0CCB"/>
    <w:rsid w:val="004B0CCE"/>
    <w:rsid w:val="004B1154"/>
    <w:rsid w:val="004B12CF"/>
    <w:rsid w:val="004B133F"/>
    <w:rsid w:val="004B13A9"/>
    <w:rsid w:val="004B1599"/>
    <w:rsid w:val="004B183B"/>
    <w:rsid w:val="004B18A0"/>
    <w:rsid w:val="004B1C6C"/>
    <w:rsid w:val="004B1D19"/>
    <w:rsid w:val="004B2A99"/>
    <w:rsid w:val="004B2F81"/>
    <w:rsid w:val="004B3023"/>
    <w:rsid w:val="004B34D4"/>
    <w:rsid w:val="004B35D3"/>
    <w:rsid w:val="004B37D6"/>
    <w:rsid w:val="004B3829"/>
    <w:rsid w:val="004B3E86"/>
    <w:rsid w:val="004B3F48"/>
    <w:rsid w:val="004B3FBD"/>
    <w:rsid w:val="004B4389"/>
    <w:rsid w:val="004B44FB"/>
    <w:rsid w:val="004B4753"/>
    <w:rsid w:val="004B4E0B"/>
    <w:rsid w:val="004B5024"/>
    <w:rsid w:val="004B524E"/>
    <w:rsid w:val="004B55AD"/>
    <w:rsid w:val="004B569B"/>
    <w:rsid w:val="004B57C1"/>
    <w:rsid w:val="004B5CCC"/>
    <w:rsid w:val="004B5CF0"/>
    <w:rsid w:val="004B60B7"/>
    <w:rsid w:val="004B61C9"/>
    <w:rsid w:val="004B65FD"/>
    <w:rsid w:val="004B69ED"/>
    <w:rsid w:val="004B6AAD"/>
    <w:rsid w:val="004B6B70"/>
    <w:rsid w:val="004B6C0C"/>
    <w:rsid w:val="004B76A1"/>
    <w:rsid w:val="004B79A7"/>
    <w:rsid w:val="004B7BC3"/>
    <w:rsid w:val="004B7CB0"/>
    <w:rsid w:val="004B7D05"/>
    <w:rsid w:val="004B7F36"/>
    <w:rsid w:val="004C06A7"/>
    <w:rsid w:val="004C0DAA"/>
    <w:rsid w:val="004C0DE7"/>
    <w:rsid w:val="004C0F7D"/>
    <w:rsid w:val="004C0FFB"/>
    <w:rsid w:val="004C1024"/>
    <w:rsid w:val="004C11FF"/>
    <w:rsid w:val="004C14D7"/>
    <w:rsid w:val="004C1A03"/>
    <w:rsid w:val="004C1C08"/>
    <w:rsid w:val="004C1D73"/>
    <w:rsid w:val="004C1F00"/>
    <w:rsid w:val="004C2103"/>
    <w:rsid w:val="004C215E"/>
    <w:rsid w:val="004C21E4"/>
    <w:rsid w:val="004C2507"/>
    <w:rsid w:val="004C2712"/>
    <w:rsid w:val="004C296D"/>
    <w:rsid w:val="004C2A77"/>
    <w:rsid w:val="004C2B25"/>
    <w:rsid w:val="004C2BE9"/>
    <w:rsid w:val="004C2C1E"/>
    <w:rsid w:val="004C31D0"/>
    <w:rsid w:val="004C33D3"/>
    <w:rsid w:val="004C3660"/>
    <w:rsid w:val="004C38B1"/>
    <w:rsid w:val="004C4192"/>
    <w:rsid w:val="004C48D6"/>
    <w:rsid w:val="004C586E"/>
    <w:rsid w:val="004C5979"/>
    <w:rsid w:val="004C59EB"/>
    <w:rsid w:val="004C5A5B"/>
    <w:rsid w:val="004C60A8"/>
    <w:rsid w:val="004C611D"/>
    <w:rsid w:val="004C6243"/>
    <w:rsid w:val="004C661B"/>
    <w:rsid w:val="004C6A92"/>
    <w:rsid w:val="004C6E75"/>
    <w:rsid w:val="004C7463"/>
    <w:rsid w:val="004C76F0"/>
    <w:rsid w:val="004C7730"/>
    <w:rsid w:val="004C7984"/>
    <w:rsid w:val="004C79A5"/>
    <w:rsid w:val="004C7C82"/>
    <w:rsid w:val="004D007B"/>
    <w:rsid w:val="004D01C5"/>
    <w:rsid w:val="004D0234"/>
    <w:rsid w:val="004D0912"/>
    <w:rsid w:val="004D0B38"/>
    <w:rsid w:val="004D0D16"/>
    <w:rsid w:val="004D0D61"/>
    <w:rsid w:val="004D12DE"/>
    <w:rsid w:val="004D15B2"/>
    <w:rsid w:val="004D1838"/>
    <w:rsid w:val="004D1A35"/>
    <w:rsid w:val="004D2027"/>
    <w:rsid w:val="004D25B6"/>
    <w:rsid w:val="004D2BC9"/>
    <w:rsid w:val="004D2E71"/>
    <w:rsid w:val="004D2F09"/>
    <w:rsid w:val="004D31B7"/>
    <w:rsid w:val="004D34CD"/>
    <w:rsid w:val="004D3531"/>
    <w:rsid w:val="004D3825"/>
    <w:rsid w:val="004D4180"/>
    <w:rsid w:val="004D41ED"/>
    <w:rsid w:val="004D4821"/>
    <w:rsid w:val="004D4981"/>
    <w:rsid w:val="004D4996"/>
    <w:rsid w:val="004D4CD1"/>
    <w:rsid w:val="004D4D5E"/>
    <w:rsid w:val="004D4F3D"/>
    <w:rsid w:val="004D5778"/>
    <w:rsid w:val="004D57A0"/>
    <w:rsid w:val="004D57D2"/>
    <w:rsid w:val="004D587D"/>
    <w:rsid w:val="004D5BA7"/>
    <w:rsid w:val="004D5ED6"/>
    <w:rsid w:val="004D601E"/>
    <w:rsid w:val="004D61C1"/>
    <w:rsid w:val="004D63A8"/>
    <w:rsid w:val="004D63EB"/>
    <w:rsid w:val="004D67F7"/>
    <w:rsid w:val="004D682C"/>
    <w:rsid w:val="004D7012"/>
    <w:rsid w:val="004D773F"/>
    <w:rsid w:val="004D77D3"/>
    <w:rsid w:val="004D7927"/>
    <w:rsid w:val="004D7CF2"/>
    <w:rsid w:val="004D7D72"/>
    <w:rsid w:val="004D7D85"/>
    <w:rsid w:val="004D7DBF"/>
    <w:rsid w:val="004E0337"/>
    <w:rsid w:val="004E0370"/>
    <w:rsid w:val="004E0703"/>
    <w:rsid w:val="004E0A75"/>
    <w:rsid w:val="004E13AB"/>
    <w:rsid w:val="004E1511"/>
    <w:rsid w:val="004E1BC0"/>
    <w:rsid w:val="004E1CAE"/>
    <w:rsid w:val="004E21EA"/>
    <w:rsid w:val="004E21EF"/>
    <w:rsid w:val="004E225D"/>
    <w:rsid w:val="004E24CC"/>
    <w:rsid w:val="004E284A"/>
    <w:rsid w:val="004E28ED"/>
    <w:rsid w:val="004E28FA"/>
    <w:rsid w:val="004E2933"/>
    <w:rsid w:val="004E297D"/>
    <w:rsid w:val="004E2A16"/>
    <w:rsid w:val="004E2BBD"/>
    <w:rsid w:val="004E2D96"/>
    <w:rsid w:val="004E34E0"/>
    <w:rsid w:val="004E3593"/>
    <w:rsid w:val="004E364E"/>
    <w:rsid w:val="004E39A7"/>
    <w:rsid w:val="004E3C0B"/>
    <w:rsid w:val="004E3CEF"/>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71"/>
    <w:rsid w:val="004E7990"/>
    <w:rsid w:val="004E7AFE"/>
    <w:rsid w:val="004E7CB4"/>
    <w:rsid w:val="004E7E4A"/>
    <w:rsid w:val="004F006F"/>
    <w:rsid w:val="004F00E6"/>
    <w:rsid w:val="004F0275"/>
    <w:rsid w:val="004F0328"/>
    <w:rsid w:val="004F0425"/>
    <w:rsid w:val="004F0723"/>
    <w:rsid w:val="004F089E"/>
    <w:rsid w:val="004F1335"/>
    <w:rsid w:val="004F1476"/>
    <w:rsid w:val="004F1C60"/>
    <w:rsid w:val="004F1E2C"/>
    <w:rsid w:val="004F1FFA"/>
    <w:rsid w:val="004F20B0"/>
    <w:rsid w:val="004F2135"/>
    <w:rsid w:val="004F21B9"/>
    <w:rsid w:val="004F22B3"/>
    <w:rsid w:val="004F2502"/>
    <w:rsid w:val="004F2944"/>
    <w:rsid w:val="004F297C"/>
    <w:rsid w:val="004F2F56"/>
    <w:rsid w:val="004F2F6D"/>
    <w:rsid w:val="004F30B8"/>
    <w:rsid w:val="004F311A"/>
    <w:rsid w:val="004F3310"/>
    <w:rsid w:val="004F355F"/>
    <w:rsid w:val="004F3CC2"/>
    <w:rsid w:val="004F417E"/>
    <w:rsid w:val="004F4236"/>
    <w:rsid w:val="004F476A"/>
    <w:rsid w:val="004F4C60"/>
    <w:rsid w:val="004F4D11"/>
    <w:rsid w:val="004F56E8"/>
    <w:rsid w:val="004F628A"/>
    <w:rsid w:val="004F675C"/>
    <w:rsid w:val="004F7059"/>
    <w:rsid w:val="004F72C5"/>
    <w:rsid w:val="004F72D5"/>
    <w:rsid w:val="004F7337"/>
    <w:rsid w:val="004F7429"/>
    <w:rsid w:val="004F7C7E"/>
    <w:rsid w:val="004F7E81"/>
    <w:rsid w:val="0050059A"/>
    <w:rsid w:val="0050086C"/>
    <w:rsid w:val="00500B10"/>
    <w:rsid w:val="00500B55"/>
    <w:rsid w:val="0050194B"/>
    <w:rsid w:val="00501F12"/>
    <w:rsid w:val="00501F8A"/>
    <w:rsid w:val="00502929"/>
    <w:rsid w:val="00502B7B"/>
    <w:rsid w:val="00502D0A"/>
    <w:rsid w:val="00502E3A"/>
    <w:rsid w:val="005033CE"/>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6F08"/>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16"/>
    <w:rsid w:val="00510DFF"/>
    <w:rsid w:val="00510E2B"/>
    <w:rsid w:val="00510FA4"/>
    <w:rsid w:val="005112F9"/>
    <w:rsid w:val="00511317"/>
    <w:rsid w:val="0051133D"/>
    <w:rsid w:val="005114AE"/>
    <w:rsid w:val="00512113"/>
    <w:rsid w:val="0051217A"/>
    <w:rsid w:val="005129AD"/>
    <w:rsid w:val="005129BB"/>
    <w:rsid w:val="00512B35"/>
    <w:rsid w:val="00512C49"/>
    <w:rsid w:val="00512D6C"/>
    <w:rsid w:val="005131D6"/>
    <w:rsid w:val="005132F0"/>
    <w:rsid w:val="00513905"/>
    <w:rsid w:val="00513A35"/>
    <w:rsid w:val="00513C46"/>
    <w:rsid w:val="00513D7A"/>
    <w:rsid w:val="00514022"/>
    <w:rsid w:val="005141DE"/>
    <w:rsid w:val="00514593"/>
    <w:rsid w:val="00514970"/>
    <w:rsid w:val="00514ACD"/>
    <w:rsid w:val="00514C6E"/>
    <w:rsid w:val="00514D38"/>
    <w:rsid w:val="00514DBE"/>
    <w:rsid w:val="00514EAE"/>
    <w:rsid w:val="005150A0"/>
    <w:rsid w:val="00515290"/>
    <w:rsid w:val="0051550F"/>
    <w:rsid w:val="00515DE6"/>
    <w:rsid w:val="00515E39"/>
    <w:rsid w:val="00515EAE"/>
    <w:rsid w:val="005161D0"/>
    <w:rsid w:val="00516657"/>
    <w:rsid w:val="005168EB"/>
    <w:rsid w:val="00516C5E"/>
    <w:rsid w:val="00516CCF"/>
    <w:rsid w:val="00516DD1"/>
    <w:rsid w:val="00517427"/>
    <w:rsid w:val="005176F0"/>
    <w:rsid w:val="00517B02"/>
    <w:rsid w:val="00517B59"/>
    <w:rsid w:val="00517FF5"/>
    <w:rsid w:val="00520796"/>
    <w:rsid w:val="005207A3"/>
    <w:rsid w:val="0052083A"/>
    <w:rsid w:val="00520E20"/>
    <w:rsid w:val="0052116B"/>
    <w:rsid w:val="00521480"/>
    <w:rsid w:val="00521594"/>
    <w:rsid w:val="005217ED"/>
    <w:rsid w:val="00521ECC"/>
    <w:rsid w:val="0052246B"/>
    <w:rsid w:val="0052260C"/>
    <w:rsid w:val="00522C0C"/>
    <w:rsid w:val="00522E6F"/>
    <w:rsid w:val="005233F5"/>
    <w:rsid w:val="0052353C"/>
    <w:rsid w:val="00523B59"/>
    <w:rsid w:val="0052420C"/>
    <w:rsid w:val="00524C23"/>
    <w:rsid w:val="005256A3"/>
    <w:rsid w:val="0052575B"/>
    <w:rsid w:val="00525B56"/>
    <w:rsid w:val="00525BE0"/>
    <w:rsid w:val="00525D9E"/>
    <w:rsid w:val="00526305"/>
    <w:rsid w:val="00526314"/>
    <w:rsid w:val="00526776"/>
    <w:rsid w:val="005267E3"/>
    <w:rsid w:val="00526967"/>
    <w:rsid w:val="005273D3"/>
    <w:rsid w:val="005275A1"/>
    <w:rsid w:val="00527857"/>
    <w:rsid w:val="00527D4E"/>
    <w:rsid w:val="00527F4E"/>
    <w:rsid w:val="00527F71"/>
    <w:rsid w:val="00530390"/>
    <w:rsid w:val="00530678"/>
    <w:rsid w:val="00530836"/>
    <w:rsid w:val="00530DB5"/>
    <w:rsid w:val="00530EA2"/>
    <w:rsid w:val="0053112B"/>
    <w:rsid w:val="00531142"/>
    <w:rsid w:val="00531347"/>
    <w:rsid w:val="005315A3"/>
    <w:rsid w:val="0053174E"/>
    <w:rsid w:val="00531DB2"/>
    <w:rsid w:val="005321A9"/>
    <w:rsid w:val="005322C5"/>
    <w:rsid w:val="00532348"/>
    <w:rsid w:val="00532707"/>
    <w:rsid w:val="00532966"/>
    <w:rsid w:val="00532C8B"/>
    <w:rsid w:val="00532D33"/>
    <w:rsid w:val="0053322F"/>
    <w:rsid w:val="0053390B"/>
    <w:rsid w:val="00533E0C"/>
    <w:rsid w:val="00533F51"/>
    <w:rsid w:val="005343A2"/>
    <w:rsid w:val="005344B5"/>
    <w:rsid w:val="005344BB"/>
    <w:rsid w:val="00534559"/>
    <w:rsid w:val="0053483D"/>
    <w:rsid w:val="00534AC7"/>
    <w:rsid w:val="00535130"/>
    <w:rsid w:val="00535D44"/>
    <w:rsid w:val="00535DD9"/>
    <w:rsid w:val="00536278"/>
    <w:rsid w:val="00536588"/>
    <w:rsid w:val="00536DBD"/>
    <w:rsid w:val="00536FD2"/>
    <w:rsid w:val="005374CA"/>
    <w:rsid w:val="00537A14"/>
    <w:rsid w:val="00537A6C"/>
    <w:rsid w:val="00537BB2"/>
    <w:rsid w:val="00537C9D"/>
    <w:rsid w:val="005400E6"/>
    <w:rsid w:val="0054023B"/>
    <w:rsid w:val="005402AB"/>
    <w:rsid w:val="005402D0"/>
    <w:rsid w:val="005406BB"/>
    <w:rsid w:val="00540A1F"/>
    <w:rsid w:val="00540CEE"/>
    <w:rsid w:val="00540EAB"/>
    <w:rsid w:val="005410C4"/>
    <w:rsid w:val="005412CC"/>
    <w:rsid w:val="00541860"/>
    <w:rsid w:val="00541906"/>
    <w:rsid w:val="00541A0A"/>
    <w:rsid w:val="00541AA9"/>
    <w:rsid w:val="00541D59"/>
    <w:rsid w:val="00541E89"/>
    <w:rsid w:val="00541F2B"/>
    <w:rsid w:val="005420A6"/>
    <w:rsid w:val="0054211B"/>
    <w:rsid w:val="00542352"/>
    <w:rsid w:val="005424E9"/>
    <w:rsid w:val="005425F0"/>
    <w:rsid w:val="0054266D"/>
    <w:rsid w:val="0054273F"/>
    <w:rsid w:val="0054294E"/>
    <w:rsid w:val="0054314C"/>
    <w:rsid w:val="0054321F"/>
    <w:rsid w:val="0054341A"/>
    <w:rsid w:val="00543602"/>
    <w:rsid w:val="00543D35"/>
    <w:rsid w:val="00543D5C"/>
    <w:rsid w:val="00544045"/>
    <w:rsid w:val="00544087"/>
    <w:rsid w:val="0054427B"/>
    <w:rsid w:val="005445F6"/>
    <w:rsid w:val="00544605"/>
    <w:rsid w:val="00544811"/>
    <w:rsid w:val="005448B6"/>
    <w:rsid w:val="00544A11"/>
    <w:rsid w:val="00544A26"/>
    <w:rsid w:val="00544B16"/>
    <w:rsid w:val="00545B95"/>
    <w:rsid w:val="00545CAB"/>
    <w:rsid w:val="00546314"/>
    <w:rsid w:val="005463D2"/>
    <w:rsid w:val="00546829"/>
    <w:rsid w:val="0054684F"/>
    <w:rsid w:val="0054689E"/>
    <w:rsid w:val="00546BB4"/>
    <w:rsid w:val="00546DF1"/>
    <w:rsid w:val="00547745"/>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BB8"/>
    <w:rsid w:val="00551E72"/>
    <w:rsid w:val="00551F2F"/>
    <w:rsid w:val="005523FB"/>
    <w:rsid w:val="005526B2"/>
    <w:rsid w:val="00552738"/>
    <w:rsid w:val="00552D3A"/>
    <w:rsid w:val="00552E7F"/>
    <w:rsid w:val="00553671"/>
    <w:rsid w:val="00553E08"/>
    <w:rsid w:val="005541A2"/>
    <w:rsid w:val="005541E5"/>
    <w:rsid w:val="00554297"/>
    <w:rsid w:val="0055446C"/>
    <w:rsid w:val="005544DA"/>
    <w:rsid w:val="00554611"/>
    <w:rsid w:val="00554B42"/>
    <w:rsid w:val="00554BA0"/>
    <w:rsid w:val="00554F5C"/>
    <w:rsid w:val="00554F61"/>
    <w:rsid w:val="00555018"/>
    <w:rsid w:val="00555828"/>
    <w:rsid w:val="00555CCC"/>
    <w:rsid w:val="00555CE4"/>
    <w:rsid w:val="00555EB7"/>
    <w:rsid w:val="00555ECB"/>
    <w:rsid w:val="00556255"/>
    <w:rsid w:val="00556361"/>
    <w:rsid w:val="00556776"/>
    <w:rsid w:val="005567FE"/>
    <w:rsid w:val="005568D7"/>
    <w:rsid w:val="00556AC8"/>
    <w:rsid w:val="00556C10"/>
    <w:rsid w:val="00556C83"/>
    <w:rsid w:val="00556E4A"/>
    <w:rsid w:val="00556E66"/>
    <w:rsid w:val="005570EA"/>
    <w:rsid w:val="00557763"/>
    <w:rsid w:val="00557A3C"/>
    <w:rsid w:val="0056012F"/>
    <w:rsid w:val="005602EC"/>
    <w:rsid w:val="0056087C"/>
    <w:rsid w:val="00560EAE"/>
    <w:rsid w:val="00560F2D"/>
    <w:rsid w:val="00560FD9"/>
    <w:rsid w:val="0056189A"/>
    <w:rsid w:val="005619BC"/>
    <w:rsid w:val="00561BBC"/>
    <w:rsid w:val="00561D7B"/>
    <w:rsid w:val="00561E58"/>
    <w:rsid w:val="00561F89"/>
    <w:rsid w:val="00562025"/>
    <w:rsid w:val="00562312"/>
    <w:rsid w:val="005625A3"/>
    <w:rsid w:val="00562820"/>
    <w:rsid w:val="00562C2E"/>
    <w:rsid w:val="00562DB9"/>
    <w:rsid w:val="00563002"/>
    <w:rsid w:val="00563060"/>
    <w:rsid w:val="005630DC"/>
    <w:rsid w:val="0056315E"/>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5DC3"/>
    <w:rsid w:val="005663BE"/>
    <w:rsid w:val="00566589"/>
    <w:rsid w:val="005667FE"/>
    <w:rsid w:val="00566A1A"/>
    <w:rsid w:val="0056705B"/>
    <w:rsid w:val="005670B9"/>
    <w:rsid w:val="0056731C"/>
    <w:rsid w:val="005679C9"/>
    <w:rsid w:val="00567BE0"/>
    <w:rsid w:val="00567F30"/>
    <w:rsid w:val="005701CF"/>
    <w:rsid w:val="005703B1"/>
    <w:rsid w:val="00570DC9"/>
    <w:rsid w:val="00570F86"/>
    <w:rsid w:val="0057130F"/>
    <w:rsid w:val="005713EE"/>
    <w:rsid w:val="00571D7E"/>
    <w:rsid w:val="00571E40"/>
    <w:rsid w:val="00571FB9"/>
    <w:rsid w:val="00572034"/>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2A7"/>
    <w:rsid w:val="0057635F"/>
    <w:rsid w:val="00576415"/>
    <w:rsid w:val="005764E7"/>
    <w:rsid w:val="00576524"/>
    <w:rsid w:val="005765C1"/>
    <w:rsid w:val="00576757"/>
    <w:rsid w:val="00576E6F"/>
    <w:rsid w:val="0057742D"/>
    <w:rsid w:val="0057752B"/>
    <w:rsid w:val="00577679"/>
    <w:rsid w:val="005776D9"/>
    <w:rsid w:val="0057771D"/>
    <w:rsid w:val="00577C96"/>
    <w:rsid w:val="00577CBC"/>
    <w:rsid w:val="00577FD3"/>
    <w:rsid w:val="00580100"/>
    <w:rsid w:val="005805A4"/>
    <w:rsid w:val="00580945"/>
    <w:rsid w:val="005812C3"/>
    <w:rsid w:val="005813F7"/>
    <w:rsid w:val="0058149F"/>
    <w:rsid w:val="005815BE"/>
    <w:rsid w:val="0058170F"/>
    <w:rsid w:val="00582440"/>
    <w:rsid w:val="00582446"/>
    <w:rsid w:val="0058244D"/>
    <w:rsid w:val="00582450"/>
    <w:rsid w:val="00582703"/>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1F4"/>
    <w:rsid w:val="00587408"/>
    <w:rsid w:val="00587602"/>
    <w:rsid w:val="00587817"/>
    <w:rsid w:val="00587C06"/>
    <w:rsid w:val="00587DC5"/>
    <w:rsid w:val="00587F41"/>
    <w:rsid w:val="0059026C"/>
    <w:rsid w:val="005904C7"/>
    <w:rsid w:val="005905AF"/>
    <w:rsid w:val="00590938"/>
    <w:rsid w:val="00590AD7"/>
    <w:rsid w:val="00590BF3"/>
    <w:rsid w:val="00590C60"/>
    <w:rsid w:val="00590F6A"/>
    <w:rsid w:val="00590FDD"/>
    <w:rsid w:val="00591111"/>
    <w:rsid w:val="00591500"/>
    <w:rsid w:val="00591662"/>
    <w:rsid w:val="005916F6"/>
    <w:rsid w:val="00591756"/>
    <w:rsid w:val="005918B4"/>
    <w:rsid w:val="005918C5"/>
    <w:rsid w:val="00591A95"/>
    <w:rsid w:val="00591C66"/>
    <w:rsid w:val="00591D08"/>
    <w:rsid w:val="00591E81"/>
    <w:rsid w:val="0059204A"/>
    <w:rsid w:val="00592459"/>
    <w:rsid w:val="00592563"/>
    <w:rsid w:val="0059286D"/>
    <w:rsid w:val="00592E7A"/>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8A3"/>
    <w:rsid w:val="00596FF8"/>
    <w:rsid w:val="00596FFB"/>
    <w:rsid w:val="0059712F"/>
    <w:rsid w:val="0059773E"/>
    <w:rsid w:val="00597763"/>
    <w:rsid w:val="005A0168"/>
    <w:rsid w:val="005A0175"/>
    <w:rsid w:val="005A0305"/>
    <w:rsid w:val="005A052D"/>
    <w:rsid w:val="005A09EB"/>
    <w:rsid w:val="005A0E18"/>
    <w:rsid w:val="005A0E71"/>
    <w:rsid w:val="005A14EE"/>
    <w:rsid w:val="005A1ACF"/>
    <w:rsid w:val="005A1CF8"/>
    <w:rsid w:val="005A1E91"/>
    <w:rsid w:val="005A2623"/>
    <w:rsid w:val="005A2976"/>
    <w:rsid w:val="005A323D"/>
    <w:rsid w:val="005A3249"/>
    <w:rsid w:val="005A38F1"/>
    <w:rsid w:val="005A391A"/>
    <w:rsid w:val="005A3DD2"/>
    <w:rsid w:val="005A420E"/>
    <w:rsid w:val="005A4876"/>
    <w:rsid w:val="005A490B"/>
    <w:rsid w:val="005A4A88"/>
    <w:rsid w:val="005A4ECF"/>
    <w:rsid w:val="005A4F25"/>
    <w:rsid w:val="005A4F8A"/>
    <w:rsid w:val="005A53B6"/>
    <w:rsid w:val="005A55CB"/>
    <w:rsid w:val="005A5649"/>
    <w:rsid w:val="005A5666"/>
    <w:rsid w:val="005A60B8"/>
    <w:rsid w:val="005A62F8"/>
    <w:rsid w:val="005A6423"/>
    <w:rsid w:val="005A66F1"/>
    <w:rsid w:val="005A6861"/>
    <w:rsid w:val="005A689F"/>
    <w:rsid w:val="005A6904"/>
    <w:rsid w:val="005A6AC3"/>
    <w:rsid w:val="005A7061"/>
    <w:rsid w:val="005A731A"/>
    <w:rsid w:val="005A74F6"/>
    <w:rsid w:val="005A7648"/>
    <w:rsid w:val="005A77DE"/>
    <w:rsid w:val="005A7B95"/>
    <w:rsid w:val="005B0151"/>
    <w:rsid w:val="005B02F2"/>
    <w:rsid w:val="005B03BF"/>
    <w:rsid w:val="005B044A"/>
    <w:rsid w:val="005B086C"/>
    <w:rsid w:val="005B09AA"/>
    <w:rsid w:val="005B0BE5"/>
    <w:rsid w:val="005B0D5D"/>
    <w:rsid w:val="005B134F"/>
    <w:rsid w:val="005B13F9"/>
    <w:rsid w:val="005B1750"/>
    <w:rsid w:val="005B19AF"/>
    <w:rsid w:val="005B1CED"/>
    <w:rsid w:val="005B1D10"/>
    <w:rsid w:val="005B1EB8"/>
    <w:rsid w:val="005B2314"/>
    <w:rsid w:val="005B242D"/>
    <w:rsid w:val="005B25E5"/>
    <w:rsid w:val="005B2B0E"/>
    <w:rsid w:val="005B2C2F"/>
    <w:rsid w:val="005B304B"/>
    <w:rsid w:val="005B308B"/>
    <w:rsid w:val="005B364F"/>
    <w:rsid w:val="005B37D1"/>
    <w:rsid w:val="005B3BE5"/>
    <w:rsid w:val="005B3C63"/>
    <w:rsid w:val="005B4368"/>
    <w:rsid w:val="005B4849"/>
    <w:rsid w:val="005B4B43"/>
    <w:rsid w:val="005B5574"/>
    <w:rsid w:val="005B5627"/>
    <w:rsid w:val="005B5CF1"/>
    <w:rsid w:val="005B5D12"/>
    <w:rsid w:val="005B5F9B"/>
    <w:rsid w:val="005B618B"/>
    <w:rsid w:val="005B631F"/>
    <w:rsid w:val="005B63B3"/>
    <w:rsid w:val="005B6443"/>
    <w:rsid w:val="005B701B"/>
    <w:rsid w:val="005B7721"/>
    <w:rsid w:val="005C06FF"/>
    <w:rsid w:val="005C0D69"/>
    <w:rsid w:val="005C1077"/>
    <w:rsid w:val="005C131E"/>
    <w:rsid w:val="005C1522"/>
    <w:rsid w:val="005C1798"/>
    <w:rsid w:val="005C1814"/>
    <w:rsid w:val="005C1ADF"/>
    <w:rsid w:val="005C22AF"/>
    <w:rsid w:val="005C2552"/>
    <w:rsid w:val="005C26E1"/>
    <w:rsid w:val="005C2A52"/>
    <w:rsid w:val="005C2C2E"/>
    <w:rsid w:val="005C2CE7"/>
    <w:rsid w:val="005C2F5A"/>
    <w:rsid w:val="005C32B2"/>
    <w:rsid w:val="005C32F1"/>
    <w:rsid w:val="005C3646"/>
    <w:rsid w:val="005C3A15"/>
    <w:rsid w:val="005C3A45"/>
    <w:rsid w:val="005C3A81"/>
    <w:rsid w:val="005C3F7B"/>
    <w:rsid w:val="005C41B8"/>
    <w:rsid w:val="005C41CF"/>
    <w:rsid w:val="005C428D"/>
    <w:rsid w:val="005C4549"/>
    <w:rsid w:val="005C4DDA"/>
    <w:rsid w:val="005C5093"/>
    <w:rsid w:val="005C520C"/>
    <w:rsid w:val="005C52F9"/>
    <w:rsid w:val="005C5353"/>
    <w:rsid w:val="005C59B8"/>
    <w:rsid w:val="005C5FB3"/>
    <w:rsid w:val="005C6258"/>
    <w:rsid w:val="005C62DF"/>
    <w:rsid w:val="005C65ED"/>
    <w:rsid w:val="005C664E"/>
    <w:rsid w:val="005C69F2"/>
    <w:rsid w:val="005C6CE5"/>
    <w:rsid w:val="005C737B"/>
    <w:rsid w:val="005C740D"/>
    <w:rsid w:val="005C7698"/>
    <w:rsid w:val="005C7D4C"/>
    <w:rsid w:val="005C7DBD"/>
    <w:rsid w:val="005C7E49"/>
    <w:rsid w:val="005C7F85"/>
    <w:rsid w:val="005D0007"/>
    <w:rsid w:val="005D0052"/>
    <w:rsid w:val="005D0197"/>
    <w:rsid w:val="005D0366"/>
    <w:rsid w:val="005D092D"/>
    <w:rsid w:val="005D0A2F"/>
    <w:rsid w:val="005D1BB3"/>
    <w:rsid w:val="005D22CF"/>
    <w:rsid w:val="005D2A83"/>
    <w:rsid w:val="005D2E2B"/>
    <w:rsid w:val="005D310F"/>
    <w:rsid w:val="005D33E9"/>
    <w:rsid w:val="005D3808"/>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863"/>
    <w:rsid w:val="005E0867"/>
    <w:rsid w:val="005E0AEA"/>
    <w:rsid w:val="005E0C29"/>
    <w:rsid w:val="005E0F95"/>
    <w:rsid w:val="005E131A"/>
    <w:rsid w:val="005E2235"/>
    <w:rsid w:val="005E2C85"/>
    <w:rsid w:val="005E2EFB"/>
    <w:rsid w:val="005E2FB6"/>
    <w:rsid w:val="005E307D"/>
    <w:rsid w:val="005E3253"/>
    <w:rsid w:val="005E3733"/>
    <w:rsid w:val="005E387E"/>
    <w:rsid w:val="005E3F35"/>
    <w:rsid w:val="005E3F75"/>
    <w:rsid w:val="005E415F"/>
    <w:rsid w:val="005E4316"/>
    <w:rsid w:val="005E48AF"/>
    <w:rsid w:val="005E4A27"/>
    <w:rsid w:val="005E4BF7"/>
    <w:rsid w:val="005E4C39"/>
    <w:rsid w:val="005E4E14"/>
    <w:rsid w:val="005E4F41"/>
    <w:rsid w:val="005E5763"/>
    <w:rsid w:val="005E58C7"/>
    <w:rsid w:val="005E5BD3"/>
    <w:rsid w:val="005E5D53"/>
    <w:rsid w:val="005E5F44"/>
    <w:rsid w:val="005E5FF2"/>
    <w:rsid w:val="005E621E"/>
    <w:rsid w:val="005E6680"/>
    <w:rsid w:val="005E6796"/>
    <w:rsid w:val="005E67BB"/>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1FF4"/>
    <w:rsid w:val="005F21B0"/>
    <w:rsid w:val="005F2BB7"/>
    <w:rsid w:val="005F3059"/>
    <w:rsid w:val="005F361C"/>
    <w:rsid w:val="005F3C03"/>
    <w:rsid w:val="005F3C90"/>
    <w:rsid w:val="005F40B0"/>
    <w:rsid w:val="005F43C7"/>
    <w:rsid w:val="005F4454"/>
    <w:rsid w:val="005F4511"/>
    <w:rsid w:val="005F48F0"/>
    <w:rsid w:val="005F4E92"/>
    <w:rsid w:val="005F5593"/>
    <w:rsid w:val="005F588E"/>
    <w:rsid w:val="005F5C87"/>
    <w:rsid w:val="005F5E49"/>
    <w:rsid w:val="005F64EF"/>
    <w:rsid w:val="005F66F0"/>
    <w:rsid w:val="005F6724"/>
    <w:rsid w:val="005F678A"/>
    <w:rsid w:val="005F6B64"/>
    <w:rsid w:val="005F7194"/>
    <w:rsid w:val="005F71A6"/>
    <w:rsid w:val="005F766C"/>
    <w:rsid w:val="005F7BE6"/>
    <w:rsid w:val="005F7C5D"/>
    <w:rsid w:val="005F7CDC"/>
    <w:rsid w:val="005F7FFB"/>
    <w:rsid w:val="0060024E"/>
    <w:rsid w:val="006006CC"/>
    <w:rsid w:val="00600785"/>
    <w:rsid w:val="0060094E"/>
    <w:rsid w:val="00600BD9"/>
    <w:rsid w:val="00600D83"/>
    <w:rsid w:val="00600DCA"/>
    <w:rsid w:val="00600E9F"/>
    <w:rsid w:val="00601301"/>
    <w:rsid w:val="0060133B"/>
    <w:rsid w:val="006015D1"/>
    <w:rsid w:val="00601727"/>
    <w:rsid w:val="00601FF7"/>
    <w:rsid w:val="00601FFC"/>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063"/>
    <w:rsid w:val="0060578D"/>
    <w:rsid w:val="0060593E"/>
    <w:rsid w:val="00605ACC"/>
    <w:rsid w:val="00605B7A"/>
    <w:rsid w:val="00605B83"/>
    <w:rsid w:val="00605B9A"/>
    <w:rsid w:val="00605C30"/>
    <w:rsid w:val="00605C9B"/>
    <w:rsid w:val="006061AC"/>
    <w:rsid w:val="006062E8"/>
    <w:rsid w:val="00606858"/>
    <w:rsid w:val="00606ADD"/>
    <w:rsid w:val="00606B35"/>
    <w:rsid w:val="00606D49"/>
    <w:rsid w:val="00606F1A"/>
    <w:rsid w:val="00607019"/>
    <w:rsid w:val="00607068"/>
    <w:rsid w:val="0060719F"/>
    <w:rsid w:val="00607EE3"/>
    <w:rsid w:val="00610253"/>
    <w:rsid w:val="006106CC"/>
    <w:rsid w:val="00610882"/>
    <w:rsid w:val="0061090C"/>
    <w:rsid w:val="00610AE6"/>
    <w:rsid w:val="00610BD4"/>
    <w:rsid w:val="00610C4E"/>
    <w:rsid w:val="00610D42"/>
    <w:rsid w:val="00610F5A"/>
    <w:rsid w:val="00611122"/>
    <w:rsid w:val="006115F6"/>
    <w:rsid w:val="006117CA"/>
    <w:rsid w:val="00611A9A"/>
    <w:rsid w:val="00611CE6"/>
    <w:rsid w:val="00611DDC"/>
    <w:rsid w:val="00611E30"/>
    <w:rsid w:val="00611E5F"/>
    <w:rsid w:val="00611F0A"/>
    <w:rsid w:val="00612163"/>
    <w:rsid w:val="006123DE"/>
    <w:rsid w:val="006126AD"/>
    <w:rsid w:val="006126DF"/>
    <w:rsid w:val="006128E4"/>
    <w:rsid w:val="00612907"/>
    <w:rsid w:val="00612DFC"/>
    <w:rsid w:val="00612ECF"/>
    <w:rsid w:val="00613181"/>
    <w:rsid w:val="006133F5"/>
    <w:rsid w:val="00613627"/>
    <w:rsid w:val="00613831"/>
    <w:rsid w:val="00613D40"/>
    <w:rsid w:val="006145B9"/>
    <w:rsid w:val="0061467E"/>
    <w:rsid w:val="00614690"/>
    <w:rsid w:val="006146DF"/>
    <w:rsid w:val="006147F7"/>
    <w:rsid w:val="00614977"/>
    <w:rsid w:val="00614BFD"/>
    <w:rsid w:val="00614C58"/>
    <w:rsid w:val="0061502E"/>
    <w:rsid w:val="006151DF"/>
    <w:rsid w:val="006155A6"/>
    <w:rsid w:val="006156A4"/>
    <w:rsid w:val="0061574A"/>
    <w:rsid w:val="00615750"/>
    <w:rsid w:val="00615A3A"/>
    <w:rsid w:val="00616087"/>
    <w:rsid w:val="00616273"/>
    <w:rsid w:val="006163E5"/>
    <w:rsid w:val="00616943"/>
    <w:rsid w:val="00617762"/>
    <w:rsid w:val="00617AF0"/>
    <w:rsid w:val="00617D63"/>
    <w:rsid w:val="0062072D"/>
    <w:rsid w:val="006207D0"/>
    <w:rsid w:val="006209B9"/>
    <w:rsid w:val="00621106"/>
    <w:rsid w:val="006219C4"/>
    <w:rsid w:val="00621AC4"/>
    <w:rsid w:val="00621BCB"/>
    <w:rsid w:val="00621C33"/>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06D"/>
    <w:rsid w:val="00626097"/>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CE5"/>
    <w:rsid w:val="00627D46"/>
    <w:rsid w:val="00627D6B"/>
    <w:rsid w:val="00627E46"/>
    <w:rsid w:val="00627FF5"/>
    <w:rsid w:val="00630116"/>
    <w:rsid w:val="00630407"/>
    <w:rsid w:val="0063048D"/>
    <w:rsid w:val="006315D6"/>
    <w:rsid w:val="0063172A"/>
    <w:rsid w:val="00631C18"/>
    <w:rsid w:val="00631DA6"/>
    <w:rsid w:val="00631E0E"/>
    <w:rsid w:val="00631FA6"/>
    <w:rsid w:val="00632347"/>
    <w:rsid w:val="00632866"/>
    <w:rsid w:val="00632C25"/>
    <w:rsid w:val="00632E33"/>
    <w:rsid w:val="00633241"/>
    <w:rsid w:val="006332B5"/>
    <w:rsid w:val="0063335D"/>
    <w:rsid w:val="00633464"/>
    <w:rsid w:val="00633998"/>
    <w:rsid w:val="006339B7"/>
    <w:rsid w:val="00633C4F"/>
    <w:rsid w:val="00633CC4"/>
    <w:rsid w:val="00633FB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398"/>
    <w:rsid w:val="00636495"/>
    <w:rsid w:val="006364A6"/>
    <w:rsid w:val="00636693"/>
    <w:rsid w:val="006369AE"/>
    <w:rsid w:val="00636EB0"/>
    <w:rsid w:val="00636F60"/>
    <w:rsid w:val="0063703E"/>
    <w:rsid w:val="0063755A"/>
    <w:rsid w:val="0063784F"/>
    <w:rsid w:val="006379C3"/>
    <w:rsid w:val="006401EA"/>
    <w:rsid w:val="00640296"/>
    <w:rsid w:val="006406B5"/>
    <w:rsid w:val="006406E0"/>
    <w:rsid w:val="0064071E"/>
    <w:rsid w:val="00640BBB"/>
    <w:rsid w:val="006414E8"/>
    <w:rsid w:val="006418AA"/>
    <w:rsid w:val="0064196D"/>
    <w:rsid w:val="00641ADC"/>
    <w:rsid w:val="00642623"/>
    <w:rsid w:val="00642963"/>
    <w:rsid w:val="00643058"/>
    <w:rsid w:val="0064319B"/>
    <w:rsid w:val="006432A7"/>
    <w:rsid w:val="00643556"/>
    <w:rsid w:val="006436F0"/>
    <w:rsid w:val="00643793"/>
    <w:rsid w:val="00643C48"/>
    <w:rsid w:val="006440BC"/>
    <w:rsid w:val="006441B4"/>
    <w:rsid w:val="006449E3"/>
    <w:rsid w:val="006452EB"/>
    <w:rsid w:val="006460D8"/>
    <w:rsid w:val="00646280"/>
    <w:rsid w:val="006463E9"/>
    <w:rsid w:val="00646401"/>
    <w:rsid w:val="00646C9C"/>
    <w:rsid w:val="00646F1A"/>
    <w:rsid w:val="00647178"/>
    <w:rsid w:val="0064762F"/>
    <w:rsid w:val="00647984"/>
    <w:rsid w:val="00647B44"/>
    <w:rsid w:val="00647C04"/>
    <w:rsid w:val="00647D18"/>
    <w:rsid w:val="0064E24E"/>
    <w:rsid w:val="006500D9"/>
    <w:rsid w:val="006504FB"/>
    <w:rsid w:val="0065067B"/>
    <w:rsid w:val="0065110D"/>
    <w:rsid w:val="006514A0"/>
    <w:rsid w:val="00651FAF"/>
    <w:rsid w:val="0065267D"/>
    <w:rsid w:val="00652D58"/>
    <w:rsid w:val="00652DDF"/>
    <w:rsid w:val="00652EA4"/>
    <w:rsid w:val="00652EB8"/>
    <w:rsid w:val="00652F6F"/>
    <w:rsid w:val="00653450"/>
    <w:rsid w:val="006534F7"/>
    <w:rsid w:val="0065351B"/>
    <w:rsid w:val="00653829"/>
    <w:rsid w:val="00653CA6"/>
    <w:rsid w:val="00653F28"/>
    <w:rsid w:val="00653F46"/>
    <w:rsid w:val="006545D8"/>
    <w:rsid w:val="006548A4"/>
    <w:rsid w:val="006548B3"/>
    <w:rsid w:val="00654A87"/>
    <w:rsid w:val="00654FD7"/>
    <w:rsid w:val="0065502E"/>
    <w:rsid w:val="0065586B"/>
    <w:rsid w:val="00655884"/>
    <w:rsid w:val="00655A82"/>
    <w:rsid w:val="00655FBA"/>
    <w:rsid w:val="00656096"/>
    <w:rsid w:val="006561F7"/>
    <w:rsid w:val="00656272"/>
    <w:rsid w:val="00656369"/>
    <w:rsid w:val="006569FB"/>
    <w:rsid w:val="00656A13"/>
    <w:rsid w:val="00656C6B"/>
    <w:rsid w:val="006575D6"/>
    <w:rsid w:val="00657818"/>
    <w:rsid w:val="006578CB"/>
    <w:rsid w:val="00657E8C"/>
    <w:rsid w:val="006608B2"/>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2B1"/>
    <w:rsid w:val="00664312"/>
    <w:rsid w:val="0066448E"/>
    <w:rsid w:val="0066466B"/>
    <w:rsid w:val="006646F3"/>
    <w:rsid w:val="006647B1"/>
    <w:rsid w:val="00664A9F"/>
    <w:rsid w:val="00664BDF"/>
    <w:rsid w:val="00665039"/>
    <w:rsid w:val="00665393"/>
    <w:rsid w:val="006658AB"/>
    <w:rsid w:val="00665A99"/>
    <w:rsid w:val="006660F3"/>
    <w:rsid w:val="0066613A"/>
    <w:rsid w:val="00666600"/>
    <w:rsid w:val="006667A4"/>
    <w:rsid w:val="00666A6C"/>
    <w:rsid w:val="00666ADE"/>
    <w:rsid w:val="00666C5C"/>
    <w:rsid w:val="00666CF5"/>
    <w:rsid w:val="00666E11"/>
    <w:rsid w:val="0066716B"/>
    <w:rsid w:val="00667266"/>
    <w:rsid w:val="00667285"/>
    <w:rsid w:val="00667326"/>
    <w:rsid w:val="006676C1"/>
    <w:rsid w:val="00667A2A"/>
    <w:rsid w:val="00667B9B"/>
    <w:rsid w:val="00667BBF"/>
    <w:rsid w:val="00667C57"/>
    <w:rsid w:val="00670031"/>
    <w:rsid w:val="0067009D"/>
    <w:rsid w:val="006701FE"/>
    <w:rsid w:val="00670265"/>
    <w:rsid w:val="006702F7"/>
    <w:rsid w:val="00670580"/>
    <w:rsid w:val="00670871"/>
    <w:rsid w:val="006712C7"/>
    <w:rsid w:val="006713A8"/>
    <w:rsid w:val="00671529"/>
    <w:rsid w:val="006719B2"/>
    <w:rsid w:val="00671A2A"/>
    <w:rsid w:val="00671AC5"/>
    <w:rsid w:val="00671B59"/>
    <w:rsid w:val="006720E9"/>
    <w:rsid w:val="006722E3"/>
    <w:rsid w:val="006723C1"/>
    <w:rsid w:val="0067241C"/>
    <w:rsid w:val="00672913"/>
    <w:rsid w:val="00672A18"/>
    <w:rsid w:val="00672A5D"/>
    <w:rsid w:val="00672AC5"/>
    <w:rsid w:val="00673073"/>
    <w:rsid w:val="006730E5"/>
    <w:rsid w:val="006733AF"/>
    <w:rsid w:val="00673521"/>
    <w:rsid w:val="0067371E"/>
    <w:rsid w:val="006737F9"/>
    <w:rsid w:val="00673A00"/>
    <w:rsid w:val="00673BEE"/>
    <w:rsid w:val="00673C41"/>
    <w:rsid w:val="00673EF3"/>
    <w:rsid w:val="006741EF"/>
    <w:rsid w:val="0067458F"/>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9F3"/>
    <w:rsid w:val="00677A5A"/>
    <w:rsid w:val="00677E3B"/>
    <w:rsid w:val="00677F89"/>
    <w:rsid w:val="0067C88F"/>
    <w:rsid w:val="0068010C"/>
    <w:rsid w:val="00680152"/>
    <w:rsid w:val="0068087C"/>
    <w:rsid w:val="00680D64"/>
    <w:rsid w:val="00680E99"/>
    <w:rsid w:val="00680EB4"/>
    <w:rsid w:val="00681046"/>
    <w:rsid w:val="006812C4"/>
    <w:rsid w:val="0068167C"/>
    <w:rsid w:val="00681B58"/>
    <w:rsid w:val="00681F03"/>
    <w:rsid w:val="00681F73"/>
    <w:rsid w:val="0068236A"/>
    <w:rsid w:val="00682AC2"/>
    <w:rsid w:val="00682E2D"/>
    <w:rsid w:val="006832AC"/>
    <w:rsid w:val="006832F5"/>
    <w:rsid w:val="006836F7"/>
    <w:rsid w:val="0068372F"/>
    <w:rsid w:val="00683CA7"/>
    <w:rsid w:val="00683CFD"/>
    <w:rsid w:val="00683DAA"/>
    <w:rsid w:val="00683F46"/>
    <w:rsid w:val="0068452F"/>
    <w:rsid w:val="00684566"/>
    <w:rsid w:val="00684918"/>
    <w:rsid w:val="0068493E"/>
    <w:rsid w:val="00684B95"/>
    <w:rsid w:val="00684CC0"/>
    <w:rsid w:val="0068503B"/>
    <w:rsid w:val="006854C0"/>
    <w:rsid w:val="00685586"/>
    <w:rsid w:val="00685983"/>
    <w:rsid w:val="00685CA8"/>
    <w:rsid w:val="0068663E"/>
    <w:rsid w:val="006869DB"/>
    <w:rsid w:val="0068701B"/>
    <w:rsid w:val="00687661"/>
    <w:rsid w:val="00687835"/>
    <w:rsid w:val="00687A2C"/>
    <w:rsid w:val="00687E9C"/>
    <w:rsid w:val="0069003A"/>
    <w:rsid w:val="0069086A"/>
    <w:rsid w:val="006909A4"/>
    <w:rsid w:val="00690A81"/>
    <w:rsid w:val="00690E91"/>
    <w:rsid w:val="00691339"/>
    <w:rsid w:val="0069150E"/>
    <w:rsid w:val="00691701"/>
    <w:rsid w:val="006919DF"/>
    <w:rsid w:val="0069204A"/>
    <w:rsid w:val="00692603"/>
    <w:rsid w:val="00692D6E"/>
    <w:rsid w:val="006930C9"/>
    <w:rsid w:val="00693181"/>
    <w:rsid w:val="006936D7"/>
    <w:rsid w:val="0069388A"/>
    <w:rsid w:val="006939B2"/>
    <w:rsid w:val="00693A2D"/>
    <w:rsid w:val="00694233"/>
    <w:rsid w:val="00694237"/>
    <w:rsid w:val="006944F6"/>
    <w:rsid w:val="00694547"/>
    <w:rsid w:val="00694846"/>
    <w:rsid w:val="00694973"/>
    <w:rsid w:val="00694B87"/>
    <w:rsid w:val="00694DF4"/>
    <w:rsid w:val="006952DE"/>
    <w:rsid w:val="0069549E"/>
    <w:rsid w:val="0069568C"/>
    <w:rsid w:val="006956AF"/>
    <w:rsid w:val="0069574F"/>
    <w:rsid w:val="0069599F"/>
    <w:rsid w:val="00695EE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1F25"/>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434"/>
    <w:rsid w:val="006A681B"/>
    <w:rsid w:val="006A6A3D"/>
    <w:rsid w:val="006A6E2D"/>
    <w:rsid w:val="006A6F26"/>
    <w:rsid w:val="006A70E0"/>
    <w:rsid w:val="006A7314"/>
    <w:rsid w:val="006A7841"/>
    <w:rsid w:val="006A79D1"/>
    <w:rsid w:val="006A7BA9"/>
    <w:rsid w:val="006A7CE6"/>
    <w:rsid w:val="006A7E0C"/>
    <w:rsid w:val="006B00EA"/>
    <w:rsid w:val="006B07C9"/>
    <w:rsid w:val="006B131D"/>
    <w:rsid w:val="006B134A"/>
    <w:rsid w:val="006B19AC"/>
    <w:rsid w:val="006B1AAC"/>
    <w:rsid w:val="006B21C1"/>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779"/>
    <w:rsid w:val="006B6D41"/>
    <w:rsid w:val="006B7AE0"/>
    <w:rsid w:val="006B7B8B"/>
    <w:rsid w:val="006B7FE3"/>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5A7"/>
    <w:rsid w:val="006C367E"/>
    <w:rsid w:val="006C37C5"/>
    <w:rsid w:val="006C397B"/>
    <w:rsid w:val="006C3A92"/>
    <w:rsid w:val="006C3AA1"/>
    <w:rsid w:val="006C3CD2"/>
    <w:rsid w:val="006C4116"/>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BB4"/>
    <w:rsid w:val="006C7C2A"/>
    <w:rsid w:val="006C7EDA"/>
    <w:rsid w:val="006D0023"/>
    <w:rsid w:val="006D0065"/>
    <w:rsid w:val="006D0206"/>
    <w:rsid w:val="006D0496"/>
    <w:rsid w:val="006D0A14"/>
    <w:rsid w:val="006D0F7D"/>
    <w:rsid w:val="006D125D"/>
    <w:rsid w:val="006D1309"/>
    <w:rsid w:val="006D1312"/>
    <w:rsid w:val="006D1536"/>
    <w:rsid w:val="006D1696"/>
    <w:rsid w:val="006D183A"/>
    <w:rsid w:val="006D1885"/>
    <w:rsid w:val="006D1F77"/>
    <w:rsid w:val="006D2108"/>
    <w:rsid w:val="006D2662"/>
    <w:rsid w:val="006D27EA"/>
    <w:rsid w:val="006D29B5"/>
    <w:rsid w:val="006D2D75"/>
    <w:rsid w:val="006D30F5"/>
    <w:rsid w:val="006D3647"/>
    <w:rsid w:val="006D3CDE"/>
    <w:rsid w:val="006D4503"/>
    <w:rsid w:val="006D4B6D"/>
    <w:rsid w:val="006D4D5A"/>
    <w:rsid w:val="006D5597"/>
    <w:rsid w:val="006D5814"/>
    <w:rsid w:val="006D5E2C"/>
    <w:rsid w:val="006D60E9"/>
    <w:rsid w:val="006D64EB"/>
    <w:rsid w:val="006D691E"/>
    <w:rsid w:val="006D6940"/>
    <w:rsid w:val="006D6A6B"/>
    <w:rsid w:val="006D6CAA"/>
    <w:rsid w:val="006D7135"/>
    <w:rsid w:val="006D75A3"/>
    <w:rsid w:val="006D770D"/>
    <w:rsid w:val="006D7A75"/>
    <w:rsid w:val="006D7BCE"/>
    <w:rsid w:val="006D7E73"/>
    <w:rsid w:val="006E00BF"/>
    <w:rsid w:val="006E00C4"/>
    <w:rsid w:val="006E0137"/>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D71"/>
    <w:rsid w:val="006E1EC0"/>
    <w:rsid w:val="006E2054"/>
    <w:rsid w:val="006E2521"/>
    <w:rsid w:val="006E25A7"/>
    <w:rsid w:val="006E26ED"/>
    <w:rsid w:val="006E2702"/>
    <w:rsid w:val="006E2703"/>
    <w:rsid w:val="006E29F2"/>
    <w:rsid w:val="006E2DC0"/>
    <w:rsid w:val="006E344A"/>
    <w:rsid w:val="006E37C0"/>
    <w:rsid w:val="006E394E"/>
    <w:rsid w:val="006E3D82"/>
    <w:rsid w:val="006E3DC0"/>
    <w:rsid w:val="006E4447"/>
    <w:rsid w:val="006E445C"/>
    <w:rsid w:val="006E4BB1"/>
    <w:rsid w:val="006E4DAB"/>
    <w:rsid w:val="006E51FC"/>
    <w:rsid w:val="006E520C"/>
    <w:rsid w:val="006E54A7"/>
    <w:rsid w:val="006E5E5D"/>
    <w:rsid w:val="006E6005"/>
    <w:rsid w:val="006E6079"/>
    <w:rsid w:val="006E632F"/>
    <w:rsid w:val="006E6465"/>
    <w:rsid w:val="006E67C9"/>
    <w:rsid w:val="006E6EED"/>
    <w:rsid w:val="006E717A"/>
    <w:rsid w:val="006E7327"/>
    <w:rsid w:val="006E7347"/>
    <w:rsid w:val="006E738E"/>
    <w:rsid w:val="006E73EC"/>
    <w:rsid w:val="006E78EA"/>
    <w:rsid w:val="006F0295"/>
    <w:rsid w:val="006F047F"/>
    <w:rsid w:val="006F0614"/>
    <w:rsid w:val="006F06D7"/>
    <w:rsid w:val="006F06E2"/>
    <w:rsid w:val="006F0751"/>
    <w:rsid w:val="006F0765"/>
    <w:rsid w:val="006F09E9"/>
    <w:rsid w:val="006F09FC"/>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4E8"/>
    <w:rsid w:val="006F3504"/>
    <w:rsid w:val="006F370B"/>
    <w:rsid w:val="006F37A9"/>
    <w:rsid w:val="006F446B"/>
    <w:rsid w:val="006F4A86"/>
    <w:rsid w:val="006F4BBA"/>
    <w:rsid w:val="006F509E"/>
    <w:rsid w:val="006F5750"/>
    <w:rsid w:val="006F5CC4"/>
    <w:rsid w:val="006F5F42"/>
    <w:rsid w:val="006F60EB"/>
    <w:rsid w:val="006F63CF"/>
    <w:rsid w:val="006F683B"/>
    <w:rsid w:val="006F6922"/>
    <w:rsid w:val="006F6CAE"/>
    <w:rsid w:val="006F7001"/>
    <w:rsid w:val="006F713D"/>
    <w:rsid w:val="006F74AA"/>
    <w:rsid w:val="006F757A"/>
    <w:rsid w:val="006F76BD"/>
    <w:rsid w:val="006F7946"/>
    <w:rsid w:val="006F795D"/>
    <w:rsid w:val="006F7BA7"/>
    <w:rsid w:val="006F7E12"/>
    <w:rsid w:val="006F7F7D"/>
    <w:rsid w:val="00700014"/>
    <w:rsid w:val="00700569"/>
    <w:rsid w:val="0070073B"/>
    <w:rsid w:val="007009D2"/>
    <w:rsid w:val="00700BB0"/>
    <w:rsid w:val="00700C31"/>
    <w:rsid w:val="00700C4B"/>
    <w:rsid w:val="00700FD0"/>
    <w:rsid w:val="007010F3"/>
    <w:rsid w:val="007016FA"/>
    <w:rsid w:val="00701D71"/>
    <w:rsid w:val="0070224E"/>
    <w:rsid w:val="007026E8"/>
    <w:rsid w:val="00702ADE"/>
    <w:rsid w:val="00702FEB"/>
    <w:rsid w:val="00703576"/>
    <w:rsid w:val="007035D7"/>
    <w:rsid w:val="00703786"/>
    <w:rsid w:val="00703A8D"/>
    <w:rsid w:val="00703D44"/>
    <w:rsid w:val="00703DD3"/>
    <w:rsid w:val="00703E6B"/>
    <w:rsid w:val="0070417D"/>
    <w:rsid w:val="00704309"/>
    <w:rsid w:val="007044F5"/>
    <w:rsid w:val="0070470E"/>
    <w:rsid w:val="00704791"/>
    <w:rsid w:val="007047B6"/>
    <w:rsid w:val="00704AB1"/>
    <w:rsid w:val="00704C1C"/>
    <w:rsid w:val="00704E90"/>
    <w:rsid w:val="00705348"/>
    <w:rsid w:val="00705556"/>
    <w:rsid w:val="0070586F"/>
    <w:rsid w:val="00705A6B"/>
    <w:rsid w:val="00705B71"/>
    <w:rsid w:val="00705BCE"/>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3CEF"/>
    <w:rsid w:val="00713FE0"/>
    <w:rsid w:val="0071401D"/>
    <w:rsid w:val="007142DC"/>
    <w:rsid w:val="00714996"/>
    <w:rsid w:val="00714A0D"/>
    <w:rsid w:val="00714EFF"/>
    <w:rsid w:val="0071507B"/>
    <w:rsid w:val="0071515D"/>
    <w:rsid w:val="0071536B"/>
    <w:rsid w:val="007155B0"/>
    <w:rsid w:val="00715695"/>
    <w:rsid w:val="00715A27"/>
    <w:rsid w:val="00715BE6"/>
    <w:rsid w:val="00715C6D"/>
    <w:rsid w:val="00715EF2"/>
    <w:rsid w:val="00715F47"/>
    <w:rsid w:val="00715F6B"/>
    <w:rsid w:val="00715FD8"/>
    <w:rsid w:val="0071666D"/>
    <w:rsid w:val="00716B09"/>
    <w:rsid w:val="00717253"/>
    <w:rsid w:val="007174BC"/>
    <w:rsid w:val="007175DF"/>
    <w:rsid w:val="007178D6"/>
    <w:rsid w:val="007179F8"/>
    <w:rsid w:val="00717D04"/>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3C"/>
    <w:rsid w:val="00723777"/>
    <w:rsid w:val="00723EB5"/>
    <w:rsid w:val="00724020"/>
    <w:rsid w:val="0072409C"/>
    <w:rsid w:val="007241A4"/>
    <w:rsid w:val="007245C1"/>
    <w:rsid w:val="00724AEA"/>
    <w:rsid w:val="00724BB2"/>
    <w:rsid w:val="00724F79"/>
    <w:rsid w:val="007254E8"/>
    <w:rsid w:val="007255AD"/>
    <w:rsid w:val="00725727"/>
    <w:rsid w:val="007257B2"/>
    <w:rsid w:val="00725C17"/>
    <w:rsid w:val="007260C0"/>
    <w:rsid w:val="0072614A"/>
    <w:rsid w:val="0072618B"/>
    <w:rsid w:val="00726FF7"/>
    <w:rsid w:val="0072714E"/>
    <w:rsid w:val="007277A0"/>
    <w:rsid w:val="00727A7B"/>
    <w:rsid w:val="00727DF2"/>
    <w:rsid w:val="00730619"/>
    <w:rsid w:val="0073082C"/>
    <w:rsid w:val="0073085D"/>
    <w:rsid w:val="0073086F"/>
    <w:rsid w:val="00730B1D"/>
    <w:rsid w:val="00730B2C"/>
    <w:rsid w:val="00731061"/>
    <w:rsid w:val="00731079"/>
    <w:rsid w:val="007313D6"/>
    <w:rsid w:val="00731574"/>
    <w:rsid w:val="00731D30"/>
    <w:rsid w:val="00731E30"/>
    <w:rsid w:val="00731ED2"/>
    <w:rsid w:val="0073204C"/>
    <w:rsid w:val="007323EA"/>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6C2"/>
    <w:rsid w:val="0073573A"/>
    <w:rsid w:val="00735933"/>
    <w:rsid w:val="00735944"/>
    <w:rsid w:val="0073599D"/>
    <w:rsid w:val="00735AD9"/>
    <w:rsid w:val="00735B37"/>
    <w:rsid w:val="00735D73"/>
    <w:rsid w:val="007364D3"/>
    <w:rsid w:val="00736660"/>
    <w:rsid w:val="007369BC"/>
    <w:rsid w:val="00736C5F"/>
    <w:rsid w:val="00736CBB"/>
    <w:rsid w:val="00736D93"/>
    <w:rsid w:val="007370C1"/>
    <w:rsid w:val="00737B0B"/>
    <w:rsid w:val="00737DF2"/>
    <w:rsid w:val="00737F55"/>
    <w:rsid w:val="00737FB5"/>
    <w:rsid w:val="00740137"/>
    <w:rsid w:val="00740329"/>
    <w:rsid w:val="0074068B"/>
    <w:rsid w:val="00740789"/>
    <w:rsid w:val="007408FB"/>
    <w:rsid w:val="00740EC4"/>
    <w:rsid w:val="00741065"/>
    <w:rsid w:val="007410A7"/>
    <w:rsid w:val="007411B7"/>
    <w:rsid w:val="0074177E"/>
    <w:rsid w:val="00741CFA"/>
    <w:rsid w:val="00741E9F"/>
    <w:rsid w:val="0074220B"/>
    <w:rsid w:val="007423E4"/>
    <w:rsid w:val="00742C59"/>
    <w:rsid w:val="0074331E"/>
    <w:rsid w:val="007433D3"/>
    <w:rsid w:val="007433EE"/>
    <w:rsid w:val="00743645"/>
    <w:rsid w:val="007437B9"/>
    <w:rsid w:val="00743881"/>
    <w:rsid w:val="00743998"/>
    <w:rsid w:val="007439FF"/>
    <w:rsid w:val="00743F8B"/>
    <w:rsid w:val="0074413F"/>
    <w:rsid w:val="00744883"/>
    <w:rsid w:val="00744B1D"/>
    <w:rsid w:val="00744D45"/>
    <w:rsid w:val="00744E5E"/>
    <w:rsid w:val="0074505C"/>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18A"/>
    <w:rsid w:val="0075297C"/>
    <w:rsid w:val="00752C01"/>
    <w:rsid w:val="00752E07"/>
    <w:rsid w:val="00752F08"/>
    <w:rsid w:val="007536AF"/>
    <w:rsid w:val="007537CD"/>
    <w:rsid w:val="00753821"/>
    <w:rsid w:val="00753920"/>
    <w:rsid w:val="00753FC4"/>
    <w:rsid w:val="00754135"/>
    <w:rsid w:val="007541F0"/>
    <w:rsid w:val="007543C9"/>
    <w:rsid w:val="007544FE"/>
    <w:rsid w:val="00754656"/>
    <w:rsid w:val="007547C8"/>
    <w:rsid w:val="00754E85"/>
    <w:rsid w:val="00754F1C"/>
    <w:rsid w:val="00755008"/>
    <w:rsid w:val="007550B8"/>
    <w:rsid w:val="007555FC"/>
    <w:rsid w:val="0075587A"/>
    <w:rsid w:val="007567AB"/>
    <w:rsid w:val="007567E7"/>
    <w:rsid w:val="0075697A"/>
    <w:rsid w:val="00756A56"/>
    <w:rsid w:val="00756B61"/>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1B62"/>
    <w:rsid w:val="00762039"/>
    <w:rsid w:val="007620B5"/>
    <w:rsid w:val="00762194"/>
    <w:rsid w:val="00762253"/>
    <w:rsid w:val="007622EB"/>
    <w:rsid w:val="007623A3"/>
    <w:rsid w:val="0076295F"/>
    <w:rsid w:val="00762DA8"/>
    <w:rsid w:val="00762FDA"/>
    <w:rsid w:val="00763263"/>
    <w:rsid w:val="00763542"/>
    <w:rsid w:val="0076373B"/>
    <w:rsid w:val="00763DBD"/>
    <w:rsid w:val="00763E30"/>
    <w:rsid w:val="00764001"/>
    <w:rsid w:val="00764305"/>
    <w:rsid w:val="007643F7"/>
    <w:rsid w:val="0076445A"/>
    <w:rsid w:val="0076445D"/>
    <w:rsid w:val="00764769"/>
    <w:rsid w:val="007647CB"/>
    <w:rsid w:val="00764D33"/>
    <w:rsid w:val="00764E74"/>
    <w:rsid w:val="007653AB"/>
    <w:rsid w:val="00765AF8"/>
    <w:rsid w:val="00765D94"/>
    <w:rsid w:val="00765EFC"/>
    <w:rsid w:val="00765F4A"/>
    <w:rsid w:val="00765FC5"/>
    <w:rsid w:val="0076620C"/>
    <w:rsid w:val="00766B6C"/>
    <w:rsid w:val="00766E11"/>
    <w:rsid w:val="00767053"/>
    <w:rsid w:val="00767537"/>
    <w:rsid w:val="00767925"/>
    <w:rsid w:val="007701DA"/>
    <w:rsid w:val="0077064B"/>
    <w:rsid w:val="0077087C"/>
    <w:rsid w:val="00770892"/>
    <w:rsid w:val="0077093C"/>
    <w:rsid w:val="0077100A"/>
    <w:rsid w:val="00771322"/>
    <w:rsid w:val="0077146F"/>
    <w:rsid w:val="00771579"/>
    <w:rsid w:val="0077167C"/>
    <w:rsid w:val="007717C7"/>
    <w:rsid w:val="00771817"/>
    <w:rsid w:val="00771D8A"/>
    <w:rsid w:val="007722C0"/>
    <w:rsid w:val="00772651"/>
    <w:rsid w:val="00772741"/>
    <w:rsid w:val="00772985"/>
    <w:rsid w:val="00772B2B"/>
    <w:rsid w:val="00772D03"/>
    <w:rsid w:val="00772E1E"/>
    <w:rsid w:val="00772FD6"/>
    <w:rsid w:val="00773262"/>
    <w:rsid w:val="0077332D"/>
    <w:rsid w:val="007738C3"/>
    <w:rsid w:val="00773A6B"/>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4AD"/>
    <w:rsid w:val="0077759A"/>
    <w:rsid w:val="00777611"/>
    <w:rsid w:val="0077774C"/>
    <w:rsid w:val="007778D7"/>
    <w:rsid w:val="00777ABF"/>
    <w:rsid w:val="00777DB3"/>
    <w:rsid w:val="00780054"/>
    <w:rsid w:val="00780565"/>
    <w:rsid w:val="00780988"/>
    <w:rsid w:val="0078163D"/>
    <w:rsid w:val="007818C5"/>
    <w:rsid w:val="007819C2"/>
    <w:rsid w:val="007819C4"/>
    <w:rsid w:val="00781DCF"/>
    <w:rsid w:val="00781E4C"/>
    <w:rsid w:val="007821B1"/>
    <w:rsid w:val="00782578"/>
    <w:rsid w:val="0078284A"/>
    <w:rsid w:val="007829F4"/>
    <w:rsid w:val="00782A66"/>
    <w:rsid w:val="00782A89"/>
    <w:rsid w:val="00783241"/>
    <w:rsid w:val="00783445"/>
    <w:rsid w:val="00783511"/>
    <w:rsid w:val="00783B2C"/>
    <w:rsid w:val="00783BF0"/>
    <w:rsid w:val="00783F63"/>
    <w:rsid w:val="00784784"/>
    <w:rsid w:val="00785908"/>
    <w:rsid w:val="00785E94"/>
    <w:rsid w:val="00785F2A"/>
    <w:rsid w:val="00786133"/>
    <w:rsid w:val="0078613C"/>
    <w:rsid w:val="00786252"/>
    <w:rsid w:val="00786458"/>
    <w:rsid w:val="00786488"/>
    <w:rsid w:val="00786493"/>
    <w:rsid w:val="00786599"/>
    <w:rsid w:val="00786CCD"/>
    <w:rsid w:val="00787073"/>
    <w:rsid w:val="00787097"/>
    <w:rsid w:val="007874C4"/>
    <w:rsid w:val="007875B9"/>
    <w:rsid w:val="007877A9"/>
    <w:rsid w:val="00787912"/>
    <w:rsid w:val="00787B24"/>
    <w:rsid w:val="00787B4F"/>
    <w:rsid w:val="00787D55"/>
    <w:rsid w:val="00787DD0"/>
    <w:rsid w:val="00787E87"/>
    <w:rsid w:val="007901B6"/>
    <w:rsid w:val="00790249"/>
    <w:rsid w:val="00790455"/>
    <w:rsid w:val="007906BE"/>
    <w:rsid w:val="00790730"/>
    <w:rsid w:val="00790F1A"/>
    <w:rsid w:val="00790FE7"/>
    <w:rsid w:val="00791031"/>
    <w:rsid w:val="007913E6"/>
    <w:rsid w:val="00791695"/>
    <w:rsid w:val="0079178A"/>
    <w:rsid w:val="00791DD1"/>
    <w:rsid w:val="0079203A"/>
    <w:rsid w:val="0079206F"/>
    <w:rsid w:val="0079266C"/>
    <w:rsid w:val="00792723"/>
    <w:rsid w:val="00792B94"/>
    <w:rsid w:val="00792C11"/>
    <w:rsid w:val="00792C9D"/>
    <w:rsid w:val="007931C9"/>
    <w:rsid w:val="00793215"/>
    <w:rsid w:val="00793227"/>
    <w:rsid w:val="007932DE"/>
    <w:rsid w:val="00793ACC"/>
    <w:rsid w:val="00793D18"/>
    <w:rsid w:val="00793D3D"/>
    <w:rsid w:val="00793F55"/>
    <w:rsid w:val="00793FA2"/>
    <w:rsid w:val="00793FDD"/>
    <w:rsid w:val="007941FE"/>
    <w:rsid w:val="00794AAB"/>
    <w:rsid w:val="00795058"/>
    <w:rsid w:val="00795616"/>
    <w:rsid w:val="00795873"/>
    <w:rsid w:val="00795897"/>
    <w:rsid w:val="00796242"/>
    <w:rsid w:val="00796366"/>
    <w:rsid w:val="007966AA"/>
    <w:rsid w:val="007968E6"/>
    <w:rsid w:val="00796AD2"/>
    <w:rsid w:val="00796C3C"/>
    <w:rsid w:val="00796CF2"/>
    <w:rsid w:val="00796ECF"/>
    <w:rsid w:val="00797438"/>
    <w:rsid w:val="0079773F"/>
    <w:rsid w:val="0079779A"/>
    <w:rsid w:val="00797996"/>
    <w:rsid w:val="00797DC1"/>
    <w:rsid w:val="00797E63"/>
    <w:rsid w:val="00799C8D"/>
    <w:rsid w:val="007A0487"/>
    <w:rsid w:val="007A07C0"/>
    <w:rsid w:val="007A080C"/>
    <w:rsid w:val="007A0858"/>
    <w:rsid w:val="007A0B05"/>
    <w:rsid w:val="007A0DE8"/>
    <w:rsid w:val="007A0E99"/>
    <w:rsid w:val="007A17C3"/>
    <w:rsid w:val="007A1809"/>
    <w:rsid w:val="007A2372"/>
    <w:rsid w:val="007A24C3"/>
    <w:rsid w:val="007A28D9"/>
    <w:rsid w:val="007A2CA0"/>
    <w:rsid w:val="007A2EA9"/>
    <w:rsid w:val="007A3074"/>
    <w:rsid w:val="007A3184"/>
    <w:rsid w:val="007A3218"/>
    <w:rsid w:val="007A35A0"/>
    <w:rsid w:val="007A393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C49"/>
    <w:rsid w:val="007A6E18"/>
    <w:rsid w:val="007A6E2F"/>
    <w:rsid w:val="007A738D"/>
    <w:rsid w:val="007A747C"/>
    <w:rsid w:val="007A7593"/>
    <w:rsid w:val="007A77E0"/>
    <w:rsid w:val="007A7865"/>
    <w:rsid w:val="007A7E7A"/>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2F1E"/>
    <w:rsid w:val="007B30B1"/>
    <w:rsid w:val="007B324B"/>
    <w:rsid w:val="007B381F"/>
    <w:rsid w:val="007B44ED"/>
    <w:rsid w:val="007B4595"/>
    <w:rsid w:val="007B4710"/>
    <w:rsid w:val="007B50F7"/>
    <w:rsid w:val="007B5115"/>
    <w:rsid w:val="007B52D2"/>
    <w:rsid w:val="007B5440"/>
    <w:rsid w:val="007B54D9"/>
    <w:rsid w:val="007B5A67"/>
    <w:rsid w:val="007B6032"/>
    <w:rsid w:val="007B6469"/>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1CB5"/>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3F"/>
    <w:rsid w:val="007C4B6E"/>
    <w:rsid w:val="007C528C"/>
    <w:rsid w:val="007C53F6"/>
    <w:rsid w:val="007C56ED"/>
    <w:rsid w:val="007C5787"/>
    <w:rsid w:val="007C5D7E"/>
    <w:rsid w:val="007C5EF7"/>
    <w:rsid w:val="007C5F16"/>
    <w:rsid w:val="007C5F1F"/>
    <w:rsid w:val="007C60D8"/>
    <w:rsid w:val="007C61A2"/>
    <w:rsid w:val="007C628F"/>
    <w:rsid w:val="007C6418"/>
    <w:rsid w:val="007C645E"/>
    <w:rsid w:val="007C6810"/>
    <w:rsid w:val="007C6914"/>
    <w:rsid w:val="007C6BC1"/>
    <w:rsid w:val="007C6F89"/>
    <w:rsid w:val="007C70B0"/>
    <w:rsid w:val="007C7225"/>
    <w:rsid w:val="007C7821"/>
    <w:rsid w:val="007C7B57"/>
    <w:rsid w:val="007CEA00"/>
    <w:rsid w:val="007CFAE5"/>
    <w:rsid w:val="007D03B3"/>
    <w:rsid w:val="007D056F"/>
    <w:rsid w:val="007D062B"/>
    <w:rsid w:val="007D0AA3"/>
    <w:rsid w:val="007D0EDC"/>
    <w:rsid w:val="007D0FF8"/>
    <w:rsid w:val="007D1C67"/>
    <w:rsid w:val="007D23B4"/>
    <w:rsid w:val="007D24F8"/>
    <w:rsid w:val="007D2BF7"/>
    <w:rsid w:val="007D2C92"/>
    <w:rsid w:val="007D2D1A"/>
    <w:rsid w:val="007D3127"/>
    <w:rsid w:val="007D341A"/>
    <w:rsid w:val="007D3942"/>
    <w:rsid w:val="007D39BD"/>
    <w:rsid w:val="007D39DA"/>
    <w:rsid w:val="007D39DB"/>
    <w:rsid w:val="007D3AC6"/>
    <w:rsid w:val="007D467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0AF"/>
    <w:rsid w:val="007E22B6"/>
    <w:rsid w:val="007E236D"/>
    <w:rsid w:val="007E253B"/>
    <w:rsid w:val="007E25C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3BC"/>
    <w:rsid w:val="007E4CA5"/>
    <w:rsid w:val="007E4E9A"/>
    <w:rsid w:val="007E4F45"/>
    <w:rsid w:val="007E5339"/>
    <w:rsid w:val="007E5494"/>
    <w:rsid w:val="007E55D7"/>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DCB"/>
    <w:rsid w:val="007E7EF1"/>
    <w:rsid w:val="007E7FCA"/>
    <w:rsid w:val="007F040A"/>
    <w:rsid w:val="007F04CB"/>
    <w:rsid w:val="007F0586"/>
    <w:rsid w:val="007F07AF"/>
    <w:rsid w:val="007F085B"/>
    <w:rsid w:val="007F0A1C"/>
    <w:rsid w:val="007F0A25"/>
    <w:rsid w:val="007F0C10"/>
    <w:rsid w:val="007F0F4F"/>
    <w:rsid w:val="007F1015"/>
    <w:rsid w:val="007F10AB"/>
    <w:rsid w:val="007F1420"/>
    <w:rsid w:val="007F2D33"/>
    <w:rsid w:val="007F2D49"/>
    <w:rsid w:val="007F301B"/>
    <w:rsid w:val="007F30B7"/>
    <w:rsid w:val="007F3577"/>
    <w:rsid w:val="007F3A1A"/>
    <w:rsid w:val="007F3C31"/>
    <w:rsid w:val="007F3CB7"/>
    <w:rsid w:val="007F4102"/>
    <w:rsid w:val="007F41C3"/>
    <w:rsid w:val="007F4307"/>
    <w:rsid w:val="007F45FF"/>
    <w:rsid w:val="007F47FD"/>
    <w:rsid w:val="007F4D44"/>
    <w:rsid w:val="007F5610"/>
    <w:rsid w:val="007F568D"/>
    <w:rsid w:val="007F5DF8"/>
    <w:rsid w:val="007F5FF0"/>
    <w:rsid w:val="007F6141"/>
    <w:rsid w:val="007F63DB"/>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29A"/>
    <w:rsid w:val="008023BE"/>
    <w:rsid w:val="008024DF"/>
    <w:rsid w:val="0080276F"/>
    <w:rsid w:val="00802B53"/>
    <w:rsid w:val="00803299"/>
    <w:rsid w:val="008033FC"/>
    <w:rsid w:val="008039A6"/>
    <w:rsid w:val="00803AAD"/>
    <w:rsid w:val="00803DB7"/>
    <w:rsid w:val="00803F8F"/>
    <w:rsid w:val="008040EE"/>
    <w:rsid w:val="0080433B"/>
    <w:rsid w:val="00804348"/>
    <w:rsid w:val="008043F4"/>
    <w:rsid w:val="00804407"/>
    <w:rsid w:val="008049D6"/>
    <w:rsid w:val="00804AE3"/>
    <w:rsid w:val="00804FD5"/>
    <w:rsid w:val="008057B7"/>
    <w:rsid w:val="008059FE"/>
    <w:rsid w:val="00805ED9"/>
    <w:rsid w:val="00805F97"/>
    <w:rsid w:val="008061E2"/>
    <w:rsid w:val="00806270"/>
    <w:rsid w:val="00806952"/>
    <w:rsid w:val="008069D1"/>
    <w:rsid w:val="00806C70"/>
    <w:rsid w:val="00806F43"/>
    <w:rsid w:val="0080711C"/>
    <w:rsid w:val="00807157"/>
    <w:rsid w:val="008078E8"/>
    <w:rsid w:val="00807970"/>
    <w:rsid w:val="008100ED"/>
    <w:rsid w:val="0081013C"/>
    <w:rsid w:val="0081022D"/>
    <w:rsid w:val="008102D4"/>
    <w:rsid w:val="008102E6"/>
    <w:rsid w:val="00810310"/>
    <w:rsid w:val="008103E2"/>
    <w:rsid w:val="0081083A"/>
    <w:rsid w:val="00810FD3"/>
    <w:rsid w:val="008112C1"/>
    <w:rsid w:val="00811826"/>
    <w:rsid w:val="00811C94"/>
    <w:rsid w:val="00811E29"/>
    <w:rsid w:val="008123D4"/>
    <w:rsid w:val="008126F0"/>
    <w:rsid w:val="00812844"/>
    <w:rsid w:val="008128B7"/>
    <w:rsid w:val="00812A20"/>
    <w:rsid w:val="00812AC2"/>
    <w:rsid w:val="00812AF6"/>
    <w:rsid w:val="00812F11"/>
    <w:rsid w:val="0081392A"/>
    <w:rsid w:val="00814036"/>
    <w:rsid w:val="00814342"/>
    <w:rsid w:val="008144CC"/>
    <w:rsid w:val="00814678"/>
    <w:rsid w:val="00814F82"/>
    <w:rsid w:val="0081528A"/>
    <w:rsid w:val="00815421"/>
    <w:rsid w:val="00815AE0"/>
    <w:rsid w:val="00815CE5"/>
    <w:rsid w:val="00815D13"/>
    <w:rsid w:val="00815ECE"/>
    <w:rsid w:val="00816483"/>
    <w:rsid w:val="00816970"/>
    <w:rsid w:val="00816C7D"/>
    <w:rsid w:val="00817228"/>
    <w:rsid w:val="00817414"/>
    <w:rsid w:val="00817855"/>
    <w:rsid w:val="00817DA3"/>
    <w:rsid w:val="00817DE7"/>
    <w:rsid w:val="00820645"/>
    <w:rsid w:val="00820844"/>
    <w:rsid w:val="0082095D"/>
    <w:rsid w:val="00820A89"/>
    <w:rsid w:val="00820AB4"/>
    <w:rsid w:val="00820EEF"/>
    <w:rsid w:val="008212BB"/>
    <w:rsid w:val="0082150B"/>
    <w:rsid w:val="00821F2F"/>
    <w:rsid w:val="008220BB"/>
    <w:rsid w:val="00822109"/>
    <w:rsid w:val="0082217D"/>
    <w:rsid w:val="0082284D"/>
    <w:rsid w:val="00822895"/>
    <w:rsid w:val="00822DC9"/>
    <w:rsid w:val="00823097"/>
    <w:rsid w:val="00823446"/>
    <w:rsid w:val="008238BF"/>
    <w:rsid w:val="00823D95"/>
    <w:rsid w:val="008241FF"/>
    <w:rsid w:val="008243F3"/>
    <w:rsid w:val="00824CED"/>
    <w:rsid w:val="00824D3D"/>
    <w:rsid w:val="00824F52"/>
    <w:rsid w:val="00824FC3"/>
    <w:rsid w:val="00824FEE"/>
    <w:rsid w:val="00825E1F"/>
    <w:rsid w:val="008261F7"/>
    <w:rsid w:val="008264D7"/>
    <w:rsid w:val="0082660B"/>
    <w:rsid w:val="00826629"/>
    <w:rsid w:val="00826776"/>
    <w:rsid w:val="008267ED"/>
    <w:rsid w:val="00826855"/>
    <w:rsid w:val="0082697A"/>
    <w:rsid w:val="008269D6"/>
    <w:rsid w:val="00827205"/>
    <w:rsid w:val="008274C1"/>
    <w:rsid w:val="0082791F"/>
    <w:rsid w:val="008301C9"/>
    <w:rsid w:val="00830999"/>
    <w:rsid w:val="0083117A"/>
    <w:rsid w:val="00831250"/>
    <w:rsid w:val="008313B5"/>
    <w:rsid w:val="00831521"/>
    <w:rsid w:val="00831F62"/>
    <w:rsid w:val="008322AE"/>
    <w:rsid w:val="008323FB"/>
    <w:rsid w:val="00832602"/>
    <w:rsid w:val="00832620"/>
    <w:rsid w:val="0083262A"/>
    <w:rsid w:val="00832CF9"/>
    <w:rsid w:val="00833871"/>
    <w:rsid w:val="0083452D"/>
    <w:rsid w:val="008346CD"/>
    <w:rsid w:val="00834B45"/>
    <w:rsid w:val="008353E9"/>
    <w:rsid w:val="00835784"/>
    <w:rsid w:val="0083597B"/>
    <w:rsid w:val="0083602A"/>
    <w:rsid w:val="00836103"/>
    <w:rsid w:val="00836280"/>
    <w:rsid w:val="00836291"/>
    <w:rsid w:val="008364AF"/>
    <w:rsid w:val="00836837"/>
    <w:rsid w:val="008369F9"/>
    <w:rsid w:val="00836D9D"/>
    <w:rsid w:val="00836EE5"/>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7E5"/>
    <w:rsid w:val="00843853"/>
    <w:rsid w:val="00843D44"/>
    <w:rsid w:val="0084426C"/>
    <w:rsid w:val="008449E1"/>
    <w:rsid w:val="00844D6A"/>
    <w:rsid w:val="00844F3E"/>
    <w:rsid w:val="008450B2"/>
    <w:rsid w:val="008455F3"/>
    <w:rsid w:val="00845FE6"/>
    <w:rsid w:val="00846100"/>
    <w:rsid w:val="0084621D"/>
    <w:rsid w:val="00846268"/>
    <w:rsid w:val="0084627C"/>
    <w:rsid w:val="008468F7"/>
    <w:rsid w:val="0084708F"/>
    <w:rsid w:val="008470DD"/>
    <w:rsid w:val="00847111"/>
    <w:rsid w:val="00847193"/>
    <w:rsid w:val="008473CF"/>
    <w:rsid w:val="008475F7"/>
    <w:rsid w:val="00847808"/>
    <w:rsid w:val="008479C4"/>
    <w:rsid w:val="00847B97"/>
    <w:rsid w:val="0085008D"/>
    <w:rsid w:val="00850952"/>
    <w:rsid w:val="008511F5"/>
    <w:rsid w:val="0085124E"/>
    <w:rsid w:val="0085135B"/>
    <w:rsid w:val="008515D9"/>
    <w:rsid w:val="0085173B"/>
    <w:rsid w:val="00851A97"/>
    <w:rsid w:val="00851CB0"/>
    <w:rsid w:val="008523F3"/>
    <w:rsid w:val="008525FA"/>
    <w:rsid w:val="008527F1"/>
    <w:rsid w:val="008529FB"/>
    <w:rsid w:val="00852AA0"/>
    <w:rsid w:val="00852C17"/>
    <w:rsid w:val="00852E57"/>
    <w:rsid w:val="00853128"/>
    <w:rsid w:val="008532F9"/>
    <w:rsid w:val="00853671"/>
    <w:rsid w:val="0085414A"/>
    <w:rsid w:val="00854417"/>
    <w:rsid w:val="00854523"/>
    <w:rsid w:val="00854A90"/>
    <w:rsid w:val="0085584B"/>
    <w:rsid w:val="00855918"/>
    <w:rsid w:val="00855A9F"/>
    <w:rsid w:val="00856018"/>
    <w:rsid w:val="0085618D"/>
    <w:rsid w:val="008562A2"/>
    <w:rsid w:val="0085689C"/>
    <w:rsid w:val="00856E51"/>
    <w:rsid w:val="00856E89"/>
    <w:rsid w:val="00857297"/>
    <w:rsid w:val="0085779F"/>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1A9"/>
    <w:rsid w:val="008631AF"/>
    <w:rsid w:val="00863319"/>
    <w:rsid w:val="008635CA"/>
    <w:rsid w:val="00863953"/>
    <w:rsid w:val="0086406F"/>
    <w:rsid w:val="00864AE3"/>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596"/>
    <w:rsid w:val="0087179F"/>
    <w:rsid w:val="008717EC"/>
    <w:rsid w:val="00871997"/>
    <w:rsid w:val="00871A28"/>
    <w:rsid w:val="008725B1"/>
    <w:rsid w:val="008729B8"/>
    <w:rsid w:val="00872E28"/>
    <w:rsid w:val="008730F0"/>
    <w:rsid w:val="0087324E"/>
    <w:rsid w:val="008737A1"/>
    <w:rsid w:val="0087387F"/>
    <w:rsid w:val="008738CF"/>
    <w:rsid w:val="00873AD3"/>
    <w:rsid w:val="00873C5A"/>
    <w:rsid w:val="00873C71"/>
    <w:rsid w:val="00873C85"/>
    <w:rsid w:val="008744EB"/>
    <w:rsid w:val="00874873"/>
    <w:rsid w:val="008750AA"/>
    <w:rsid w:val="00875211"/>
    <w:rsid w:val="008752EA"/>
    <w:rsid w:val="00875314"/>
    <w:rsid w:val="008754BE"/>
    <w:rsid w:val="0087567E"/>
    <w:rsid w:val="00875691"/>
    <w:rsid w:val="00875EF3"/>
    <w:rsid w:val="008760C0"/>
    <w:rsid w:val="00876216"/>
    <w:rsid w:val="008762FD"/>
    <w:rsid w:val="00876382"/>
    <w:rsid w:val="0087642B"/>
    <w:rsid w:val="00876990"/>
    <w:rsid w:val="00876A0E"/>
    <w:rsid w:val="00876D34"/>
    <w:rsid w:val="0087754E"/>
    <w:rsid w:val="00877F61"/>
    <w:rsid w:val="00880435"/>
    <w:rsid w:val="00880849"/>
    <w:rsid w:val="00880ECB"/>
    <w:rsid w:val="00881798"/>
    <w:rsid w:val="00881889"/>
    <w:rsid w:val="00881DE6"/>
    <w:rsid w:val="00881FEA"/>
    <w:rsid w:val="0088215A"/>
    <w:rsid w:val="008822C4"/>
    <w:rsid w:val="00882969"/>
    <w:rsid w:val="00882A5C"/>
    <w:rsid w:val="00883141"/>
    <w:rsid w:val="00883252"/>
    <w:rsid w:val="0088352B"/>
    <w:rsid w:val="00883689"/>
    <w:rsid w:val="00883945"/>
    <w:rsid w:val="00883AE7"/>
    <w:rsid w:val="00883D0D"/>
    <w:rsid w:val="008845C6"/>
    <w:rsid w:val="008846ED"/>
    <w:rsid w:val="008846F2"/>
    <w:rsid w:val="00884A55"/>
    <w:rsid w:val="00884A7C"/>
    <w:rsid w:val="00884D45"/>
    <w:rsid w:val="00884FDE"/>
    <w:rsid w:val="00885326"/>
    <w:rsid w:val="00885C25"/>
    <w:rsid w:val="00885FDB"/>
    <w:rsid w:val="008868D5"/>
    <w:rsid w:val="00886911"/>
    <w:rsid w:val="00886A2F"/>
    <w:rsid w:val="00886C34"/>
    <w:rsid w:val="00887080"/>
    <w:rsid w:val="00887DAC"/>
    <w:rsid w:val="00887F33"/>
    <w:rsid w:val="00890151"/>
    <w:rsid w:val="0089015C"/>
    <w:rsid w:val="008902CD"/>
    <w:rsid w:val="008904C0"/>
    <w:rsid w:val="00890D82"/>
    <w:rsid w:val="008911CB"/>
    <w:rsid w:val="00891263"/>
    <w:rsid w:val="00891300"/>
    <w:rsid w:val="00891BA3"/>
    <w:rsid w:val="00891E73"/>
    <w:rsid w:val="00892013"/>
    <w:rsid w:val="00892290"/>
    <w:rsid w:val="0089264A"/>
    <w:rsid w:val="008928D4"/>
    <w:rsid w:val="00892A16"/>
    <w:rsid w:val="00892A80"/>
    <w:rsid w:val="0089318B"/>
    <w:rsid w:val="008934D7"/>
    <w:rsid w:val="008939C4"/>
    <w:rsid w:val="00893D37"/>
    <w:rsid w:val="00893D53"/>
    <w:rsid w:val="008943FD"/>
    <w:rsid w:val="00894706"/>
    <w:rsid w:val="0089478E"/>
    <w:rsid w:val="00894BC4"/>
    <w:rsid w:val="00894D10"/>
    <w:rsid w:val="00894DD1"/>
    <w:rsid w:val="0089524D"/>
    <w:rsid w:val="0089567B"/>
    <w:rsid w:val="00895B27"/>
    <w:rsid w:val="00895DEE"/>
    <w:rsid w:val="00895FC9"/>
    <w:rsid w:val="008960D5"/>
    <w:rsid w:val="0089682C"/>
    <w:rsid w:val="00896A02"/>
    <w:rsid w:val="00896AFA"/>
    <w:rsid w:val="008977F8"/>
    <w:rsid w:val="0089780F"/>
    <w:rsid w:val="00897915"/>
    <w:rsid w:val="008A033E"/>
    <w:rsid w:val="008A06DE"/>
    <w:rsid w:val="008A0C7D"/>
    <w:rsid w:val="008A0EF2"/>
    <w:rsid w:val="008A1206"/>
    <w:rsid w:val="008A124E"/>
    <w:rsid w:val="008A168E"/>
    <w:rsid w:val="008A1B48"/>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C6B"/>
    <w:rsid w:val="008A7EC2"/>
    <w:rsid w:val="008A7F7D"/>
    <w:rsid w:val="008B02BE"/>
    <w:rsid w:val="008B0512"/>
    <w:rsid w:val="008B09AC"/>
    <w:rsid w:val="008B0FE6"/>
    <w:rsid w:val="008B1194"/>
    <w:rsid w:val="008B160A"/>
    <w:rsid w:val="008B16EF"/>
    <w:rsid w:val="008B1743"/>
    <w:rsid w:val="008B1B24"/>
    <w:rsid w:val="008B1C35"/>
    <w:rsid w:val="008B1D31"/>
    <w:rsid w:val="008B1D75"/>
    <w:rsid w:val="008B1E22"/>
    <w:rsid w:val="008B204D"/>
    <w:rsid w:val="008B218B"/>
    <w:rsid w:val="008B2382"/>
    <w:rsid w:val="008B247D"/>
    <w:rsid w:val="008B255A"/>
    <w:rsid w:val="008B2A22"/>
    <w:rsid w:val="008B37E1"/>
    <w:rsid w:val="008B3898"/>
    <w:rsid w:val="008B3B59"/>
    <w:rsid w:val="008B3FC9"/>
    <w:rsid w:val="008B4026"/>
    <w:rsid w:val="008B40C9"/>
    <w:rsid w:val="008B4553"/>
    <w:rsid w:val="008B47F4"/>
    <w:rsid w:val="008B4EB9"/>
    <w:rsid w:val="008B51FA"/>
    <w:rsid w:val="008B544A"/>
    <w:rsid w:val="008B5915"/>
    <w:rsid w:val="008B5B69"/>
    <w:rsid w:val="008B5DB7"/>
    <w:rsid w:val="008B5F95"/>
    <w:rsid w:val="008B69E8"/>
    <w:rsid w:val="008B6C59"/>
    <w:rsid w:val="008B6E15"/>
    <w:rsid w:val="008B6F13"/>
    <w:rsid w:val="008B7122"/>
    <w:rsid w:val="008B74C9"/>
    <w:rsid w:val="008B7572"/>
    <w:rsid w:val="008B7725"/>
    <w:rsid w:val="008B7AB4"/>
    <w:rsid w:val="008B7B94"/>
    <w:rsid w:val="008C0274"/>
    <w:rsid w:val="008C04F8"/>
    <w:rsid w:val="008C073B"/>
    <w:rsid w:val="008C0842"/>
    <w:rsid w:val="008C1047"/>
    <w:rsid w:val="008C13D7"/>
    <w:rsid w:val="008C13DF"/>
    <w:rsid w:val="008C16E6"/>
    <w:rsid w:val="008C18D8"/>
    <w:rsid w:val="008C1922"/>
    <w:rsid w:val="008C1A13"/>
    <w:rsid w:val="008C1DFD"/>
    <w:rsid w:val="008C1FB9"/>
    <w:rsid w:val="008C1FCE"/>
    <w:rsid w:val="008C2151"/>
    <w:rsid w:val="008C2280"/>
    <w:rsid w:val="008C22F1"/>
    <w:rsid w:val="008C2319"/>
    <w:rsid w:val="008C267F"/>
    <w:rsid w:val="008C26BB"/>
    <w:rsid w:val="008C2740"/>
    <w:rsid w:val="008C27B4"/>
    <w:rsid w:val="008C27E9"/>
    <w:rsid w:val="008C2BA5"/>
    <w:rsid w:val="008C3009"/>
    <w:rsid w:val="008C3334"/>
    <w:rsid w:val="008C365E"/>
    <w:rsid w:val="008C3796"/>
    <w:rsid w:val="008C3A02"/>
    <w:rsid w:val="008C3B7C"/>
    <w:rsid w:val="008C3BA9"/>
    <w:rsid w:val="008C3E20"/>
    <w:rsid w:val="008C43E3"/>
    <w:rsid w:val="008C443D"/>
    <w:rsid w:val="008C4F7F"/>
    <w:rsid w:val="008C50A5"/>
    <w:rsid w:val="008C5439"/>
    <w:rsid w:val="008C57E3"/>
    <w:rsid w:val="008C5B0C"/>
    <w:rsid w:val="008C5B8D"/>
    <w:rsid w:val="008C5D97"/>
    <w:rsid w:val="008C6097"/>
    <w:rsid w:val="008C67EB"/>
    <w:rsid w:val="008C6A1D"/>
    <w:rsid w:val="008C6D29"/>
    <w:rsid w:val="008C7195"/>
    <w:rsid w:val="008C7199"/>
    <w:rsid w:val="008C73CC"/>
    <w:rsid w:val="008C7AAE"/>
    <w:rsid w:val="008C7ACD"/>
    <w:rsid w:val="008D00AE"/>
    <w:rsid w:val="008D011C"/>
    <w:rsid w:val="008D05E1"/>
    <w:rsid w:val="008D0EAF"/>
    <w:rsid w:val="008D16BE"/>
    <w:rsid w:val="008D1922"/>
    <w:rsid w:val="008D19DB"/>
    <w:rsid w:val="008D1F8F"/>
    <w:rsid w:val="008D2321"/>
    <w:rsid w:val="008D233E"/>
    <w:rsid w:val="008D2859"/>
    <w:rsid w:val="008D28FD"/>
    <w:rsid w:val="008D2E24"/>
    <w:rsid w:val="008D2F77"/>
    <w:rsid w:val="008D30C9"/>
    <w:rsid w:val="008D35BB"/>
    <w:rsid w:val="008D3608"/>
    <w:rsid w:val="008D370A"/>
    <w:rsid w:val="008D3770"/>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0DB2"/>
    <w:rsid w:val="008E101D"/>
    <w:rsid w:val="008E1198"/>
    <w:rsid w:val="008E125E"/>
    <w:rsid w:val="008E1539"/>
    <w:rsid w:val="008E1863"/>
    <w:rsid w:val="008E1A94"/>
    <w:rsid w:val="008E1C55"/>
    <w:rsid w:val="008E1C94"/>
    <w:rsid w:val="008E1D1A"/>
    <w:rsid w:val="008E1F35"/>
    <w:rsid w:val="008E200E"/>
    <w:rsid w:val="008E2034"/>
    <w:rsid w:val="008E206D"/>
    <w:rsid w:val="008E25BA"/>
    <w:rsid w:val="008E3234"/>
    <w:rsid w:val="008E38CC"/>
    <w:rsid w:val="008E3A33"/>
    <w:rsid w:val="008E3C42"/>
    <w:rsid w:val="008E40C4"/>
    <w:rsid w:val="008E41BE"/>
    <w:rsid w:val="008E4258"/>
    <w:rsid w:val="008E47E4"/>
    <w:rsid w:val="008E4845"/>
    <w:rsid w:val="008E4856"/>
    <w:rsid w:val="008E4C75"/>
    <w:rsid w:val="008E4D4F"/>
    <w:rsid w:val="008E53FE"/>
    <w:rsid w:val="008E58F6"/>
    <w:rsid w:val="008E5D37"/>
    <w:rsid w:val="008E5DD0"/>
    <w:rsid w:val="008E5FAC"/>
    <w:rsid w:val="008E6295"/>
    <w:rsid w:val="008E696F"/>
    <w:rsid w:val="008E6A3C"/>
    <w:rsid w:val="008E71F6"/>
    <w:rsid w:val="008E787E"/>
    <w:rsid w:val="008E7E70"/>
    <w:rsid w:val="008E7FA8"/>
    <w:rsid w:val="008F0085"/>
    <w:rsid w:val="008F0133"/>
    <w:rsid w:val="008F019D"/>
    <w:rsid w:val="008F02C6"/>
    <w:rsid w:val="008F04DF"/>
    <w:rsid w:val="008F0736"/>
    <w:rsid w:val="008F08F1"/>
    <w:rsid w:val="008F0975"/>
    <w:rsid w:val="008F0B4C"/>
    <w:rsid w:val="008F1002"/>
    <w:rsid w:val="008F1281"/>
    <w:rsid w:val="008F14A1"/>
    <w:rsid w:val="008F160E"/>
    <w:rsid w:val="008F183F"/>
    <w:rsid w:val="008F1B29"/>
    <w:rsid w:val="008F2081"/>
    <w:rsid w:val="008F20AC"/>
    <w:rsid w:val="008F211D"/>
    <w:rsid w:val="008F2155"/>
    <w:rsid w:val="008F22B7"/>
    <w:rsid w:val="008F2386"/>
    <w:rsid w:val="008F27B2"/>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4EDC"/>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8F7CEF"/>
    <w:rsid w:val="009006DA"/>
    <w:rsid w:val="00900840"/>
    <w:rsid w:val="00900D29"/>
    <w:rsid w:val="00900ECA"/>
    <w:rsid w:val="00900FBD"/>
    <w:rsid w:val="00901AE9"/>
    <w:rsid w:val="00901C1F"/>
    <w:rsid w:val="00901CA7"/>
    <w:rsid w:val="00901FA7"/>
    <w:rsid w:val="00902007"/>
    <w:rsid w:val="00902081"/>
    <w:rsid w:val="00902116"/>
    <w:rsid w:val="009022DC"/>
    <w:rsid w:val="00902373"/>
    <w:rsid w:val="0090264D"/>
    <w:rsid w:val="009026CB"/>
    <w:rsid w:val="00902768"/>
    <w:rsid w:val="0090297B"/>
    <w:rsid w:val="00902FB7"/>
    <w:rsid w:val="00903028"/>
    <w:rsid w:val="0090366B"/>
    <w:rsid w:val="0090375F"/>
    <w:rsid w:val="00903898"/>
    <w:rsid w:val="00903B23"/>
    <w:rsid w:val="00903C22"/>
    <w:rsid w:val="00903C5C"/>
    <w:rsid w:val="00903C95"/>
    <w:rsid w:val="00903ECB"/>
    <w:rsid w:val="009045C4"/>
    <w:rsid w:val="009047A9"/>
    <w:rsid w:val="00904877"/>
    <w:rsid w:val="00904C14"/>
    <w:rsid w:val="00904C81"/>
    <w:rsid w:val="00904CAB"/>
    <w:rsid w:val="00904CC2"/>
    <w:rsid w:val="00904E03"/>
    <w:rsid w:val="009050B8"/>
    <w:rsid w:val="00905161"/>
    <w:rsid w:val="009053B0"/>
    <w:rsid w:val="0090566B"/>
    <w:rsid w:val="009058AF"/>
    <w:rsid w:val="00906044"/>
    <w:rsid w:val="00906283"/>
    <w:rsid w:val="00906B3C"/>
    <w:rsid w:val="00906CDB"/>
    <w:rsid w:val="00906D70"/>
    <w:rsid w:val="0090739C"/>
    <w:rsid w:val="0090748F"/>
    <w:rsid w:val="00907577"/>
    <w:rsid w:val="00907939"/>
    <w:rsid w:val="00907B33"/>
    <w:rsid w:val="00907DCE"/>
    <w:rsid w:val="00910196"/>
    <w:rsid w:val="009103D8"/>
    <w:rsid w:val="00910628"/>
    <w:rsid w:val="00910735"/>
    <w:rsid w:val="00910A61"/>
    <w:rsid w:val="00910BDD"/>
    <w:rsid w:val="00910E8E"/>
    <w:rsid w:val="00910FC4"/>
    <w:rsid w:val="0091100E"/>
    <w:rsid w:val="00911010"/>
    <w:rsid w:val="009110C7"/>
    <w:rsid w:val="009113C9"/>
    <w:rsid w:val="00911827"/>
    <w:rsid w:val="00911E42"/>
    <w:rsid w:val="0091219A"/>
    <w:rsid w:val="00912796"/>
    <w:rsid w:val="00912CA2"/>
    <w:rsid w:val="0091350F"/>
    <w:rsid w:val="0091353C"/>
    <w:rsid w:val="00913655"/>
    <w:rsid w:val="00913794"/>
    <w:rsid w:val="009139D2"/>
    <w:rsid w:val="00913C52"/>
    <w:rsid w:val="00913CF0"/>
    <w:rsid w:val="00914291"/>
    <w:rsid w:val="00914487"/>
    <w:rsid w:val="009147B0"/>
    <w:rsid w:val="00915351"/>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1778F"/>
    <w:rsid w:val="00920964"/>
    <w:rsid w:val="00920BC5"/>
    <w:rsid w:val="00920F01"/>
    <w:rsid w:val="00920F34"/>
    <w:rsid w:val="00921802"/>
    <w:rsid w:val="00921DB5"/>
    <w:rsid w:val="00921DBA"/>
    <w:rsid w:val="00922056"/>
    <w:rsid w:val="00922372"/>
    <w:rsid w:val="009224B1"/>
    <w:rsid w:val="00922A68"/>
    <w:rsid w:val="00922BF5"/>
    <w:rsid w:val="00923598"/>
    <w:rsid w:val="00923C68"/>
    <w:rsid w:val="00923D11"/>
    <w:rsid w:val="00923D42"/>
    <w:rsid w:val="009242E4"/>
    <w:rsid w:val="009244D3"/>
    <w:rsid w:val="00924C71"/>
    <w:rsid w:val="00924F65"/>
    <w:rsid w:val="009251AD"/>
    <w:rsid w:val="009254CF"/>
    <w:rsid w:val="00925536"/>
    <w:rsid w:val="00925C26"/>
    <w:rsid w:val="00926767"/>
    <w:rsid w:val="00926B81"/>
    <w:rsid w:val="00926C73"/>
    <w:rsid w:val="00926D64"/>
    <w:rsid w:val="00926F1E"/>
    <w:rsid w:val="00927036"/>
    <w:rsid w:val="00927047"/>
    <w:rsid w:val="0092723B"/>
    <w:rsid w:val="009274B3"/>
    <w:rsid w:val="00927746"/>
    <w:rsid w:val="0092791D"/>
    <w:rsid w:val="00927D72"/>
    <w:rsid w:val="009303C7"/>
    <w:rsid w:val="00930508"/>
    <w:rsid w:val="0093051B"/>
    <w:rsid w:val="00930757"/>
    <w:rsid w:val="0093085B"/>
    <w:rsid w:val="009308D6"/>
    <w:rsid w:val="009312D7"/>
    <w:rsid w:val="009315DE"/>
    <w:rsid w:val="00931CBD"/>
    <w:rsid w:val="00931D96"/>
    <w:rsid w:val="00932510"/>
    <w:rsid w:val="00932F92"/>
    <w:rsid w:val="00933259"/>
    <w:rsid w:val="009335B8"/>
    <w:rsid w:val="009335F3"/>
    <w:rsid w:val="009336C7"/>
    <w:rsid w:val="00933742"/>
    <w:rsid w:val="00933AB1"/>
    <w:rsid w:val="00933B02"/>
    <w:rsid w:val="00933E28"/>
    <w:rsid w:val="0093463C"/>
    <w:rsid w:val="00934A06"/>
    <w:rsid w:val="00934C2C"/>
    <w:rsid w:val="00934C55"/>
    <w:rsid w:val="0093526E"/>
    <w:rsid w:val="00935F67"/>
    <w:rsid w:val="0093648B"/>
    <w:rsid w:val="00936563"/>
    <w:rsid w:val="00936BE6"/>
    <w:rsid w:val="00936D02"/>
    <w:rsid w:val="00936D4B"/>
    <w:rsid w:val="009374EC"/>
    <w:rsid w:val="0093753D"/>
    <w:rsid w:val="009377B6"/>
    <w:rsid w:val="00937D28"/>
    <w:rsid w:val="00937DF9"/>
    <w:rsid w:val="00937E9D"/>
    <w:rsid w:val="00937F7B"/>
    <w:rsid w:val="009402A9"/>
    <w:rsid w:val="00940945"/>
    <w:rsid w:val="00940955"/>
    <w:rsid w:val="00940DE6"/>
    <w:rsid w:val="0094135A"/>
    <w:rsid w:val="00941377"/>
    <w:rsid w:val="00941510"/>
    <w:rsid w:val="0094159E"/>
    <w:rsid w:val="00941BB5"/>
    <w:rsid w:val="00941FBB"/>
    <w:rsid w:val="009424EA"/>
    <w:rsid w:val="009426DD"/>
    <w:rsid w:val="00942B74"/>
    <w:rsid w:val="00943428"/>
    <w:rsid w:val="00943550"/>
    <w:rsid w:val="00943A12"/>
    <w:rsid w:val="00943D0E"/>
    <w:rsid w:val="00943DC6"/>
    <w:rsid w:val="00943E1B"/>
    <w:rsid w:val="00943E4E"/>
    <w:rsid w:val="00943FC8"/>
    <w:rsid w:val="00944DC3"/>
    <w:rsid w:val="00945957"/>
    <w:rsid w:val="00945BD6"/>
    <w:rsid w:val="00945D78"/>
    <w:rsid w:val="0094623A"/>
    <w:rsid w:val="0094681A"/>
    <w:rsid w:val="00946D41"/>
    <w:rsid w:val="00947007"/>
    <w:rsid w:val="009470DD"/>
    <w:rsid w:val="00947111"/>
    <w:rsid w:val="00947716"/>
    <w:rsid w:val="00947821"/>
    <w:rsid w:val="009478AF"/>
    <w:rsid w:val="009478CA"/>
    <w:rsid w:val="00947928"/>
    <w:rsid w:val="00947942"/>
    <w:rsid w:val="00947AD4"/>
    <w:rsid w:val="00947B4B"/>
    <w:rsid w:val="0095007F"/>
    <w:rsid w:val="00950391"/>
    <w:rsid w:val="0095047E"/>
    <w:rsid w:val="009506CC"/>
    <w:rsid w:val="00950BED"/>
    <w:rsid w:val="00950ED1"/>
    <w:rsid w:val="009518B9"/>
    <w:rsid w:val="00951C56"/>
    <w:rsid w:val="00951D39"/>
    <w:rsid w:val="0095221B"/>
    <w:rsid w:val="009522F0"/>
    <w:rsid w:val="00952623"/>
    <w:rsid w:val="0095287D"/>
    <w:rsid w:val="00952C86"/>
    <w:rsid w:val="0095371F"/>
    <w:rsid w:val="00953AD0"/>
    <w:rsid w:val="00953AE1"/>
    <w:rsid w:val="00953D26"/>
    <w:rsid w:val="00954E42"/>
    <w:rsid w:val="00954EF3"/>
    <w:rsid w:val="00955266"/>
    <w:rsid w:val="009556C5"/>
    <w:rsid w:val="0095587D"/>
    <w:rsid w:val="00955893"/>
    <w:rsid w:val="009558B7"/>
    <w:rsid w:val="009558C8"/>
    <w:rsid w:val="0095593D"/>
    <w:rsid w:val="0095642E"/>
    <w:rsid w:val="0095670B"/>
    <w:rsid w:val="0095672F"/>
    <w:rsid w:val="00957156"/>
    <w:rsid w:val="00957310"/>
    <w:rsid w:val="00957339"/>
    <w:rsid w:val="0095758D"/>
    <w:rsid w:val="0095787B"/>
    <w:rsid w:val="00957F29"/>
    <w:rsid w:val="009600A7"/>
    <w:rsid w:val="00960634"/>
    <w:rsid w:val="00960645"/>
    <w:rsid w:val="009609B8"/>
    <w:rsid w:val="00960B0B"/>
    <w:rsid w:val="00961093"/>
    <w:rsid w:val="00961485"/>
    <w:rsid w:val="009617D3"/>
    <w:rsid w:val="00961BDB"/>
    <w:rsid w:val="00962397"/>
    <w:rsid w:val="009624A0"/>
    <w:rsid w:val="0096257E"/>
    <w:rsid w:val="009628CB"/>
    <w:rsid w:val="00962FA8"/>
    <w:rsid w:val="0096305A"/>
    <w:rsid w:val="009631C4"/>
    <w:rsid w:val="009634A1"/>
    <w:rsid w:val="0096358E"/>
    <w:rsid w:val="00963C5D"/>
    <w:rsid w:val="00963FA5"/>
    <w:rsid w:val="00964033"/>
    <w:rsid w:val="00964173"/>
    <w:rsid w:val="009642DD"/>
    <w:rsid w:val="00964300"/>
    <w:rsid w:val="009644C6"/>
    <w:rsid w:val="00964571"/>
    <w:rsid w:val="009649EE"/>
    <w:rsid w:val="00964C95"/>
    <w:rsid w:val="00964CB1"/>
    <w:rsid w:val="00964CF2"/>
    <w:rsid w:val="00964EDC"/>
    <w:rsid w:val="009651DA"/>
    <w:rsid w:val="0096537C"/>
    <w:rsid w:val="009653A4"/>
    <w:rsid w:val="00965688"/>
    <w:rsid w:val="009657E3"/>
    <w:rsid w:val="0096596E"/>
    <w:rsid w:val="00965E44"/>
    <w:rsid w:val="00965ED7"/>
    <w:rsid w:val="00965EF6"/>
    <w:rsid w:val="00965F65"/>
    <w:rsid w:val="009660B5"/>
    <w:rsid w:val="00966467"/>
    <w:rsid w:val="009664BF"/>
    <w:rsid w:val="00966698"/>
    <w:rsid w:val="00966A12"/>
    <w:rsid w:val="00966E4D"/>
    <w:rsid w:val="00967440"/>
    <w:rsid w:val="00967479"/>
    <w:rsid w:val="00970740"/>
    <w:rsid w:val="00970791"/>
    <w:rsid w:val="00970AFA"/>
    <w:rsid w:val="0097139C"/>
    <w:rsid w:val="00971592"/>
    <w:rsid w:val="0097167D"/>
    <w:rsid w:val="00971890"/>
    <w:rsid w:val="0097193F"/>
    <w:rsid w:val="00971AD6"/>
    <w:rsid w:val="00971CA4"/>
    <w:rsid w:val="009722AB"/>
    <w:rsid w:val="0097248B"/>
    <w:rsid w:val="00972830"/>
    <w:rsid w:val="009733FC"/>
    <w:rsid w:val="00973C25"/>
    <w:rsid w:val="00973CE1"/>
    <w:rsid w:val="00973DCC"/>
    <w:rsid w:val="00973E0A"/>
    <w:rsid w:val="00973EDD"/>
    <w:rsid w:val="0097407B"/>
    <w:rsid w:val="009740E5"/>
    <w:rsid w:val="009740FF"/>
    <w:rsid w:val="00974539"/>
    <w:rsid w:val="009747B5"/>
    <w:rsid w:val="0097491F"/>
    <w:rsid w:val="00974CEA"/>
    <w:rsid w:val="00974D4A"/>
    <w:rsid w:val="00975870"/>
    <w:rsid w:val="00975C79"/>
    <w:rsid w:val="00975FBC"/>
    <w:rsid w:val="00976197"/>
    <w:rsid w:val="00976892"/>
    <w:rsid w:val="00976A8E"/>
    <w:rsid w:val="00976E46"/>
    <w:rsid w:val="00976E74"/>
    <w:rsid w:val="00976E8A"/>
    <w:rsid w:val="0097727A"/>
    <w:rsid w:val="0097732C"/>
    <w:rsid w:val="00977362"/>
    <w:rsid w:val="0097747A"/>
    <w:rsid w:val="009778E3"/>
    <w:rsid w:val="00977A4E"/>
    <w:rsid w:val="00977E84"/>
    <w:rsid w:val="00977FC3"/>
    <w:rsid w:val="00980432"/>
    <w:rsid w:val="00980481"/>
    <w:rsid w:val="0098049A"/>
    <w:rsid w:val="009804C0"/>
    <w:rsid w:val="00980572"/>
    <w:rsid w:val="009806DF"/>
    <w:rsid w:val="00980782"/>
    <w:rsid w:val="00980FA8"/>
    <w:rsid w:val="009811C7"/>
    <w:rsid w:val="0098148A"/>
    <w:rsid w:val="009816D1"/>
    <w:rsid w:val="00982520"/>
    <w:rsid w:val="0098258D"/>
    <w:rsid w:val="00982829"/>
    <w:rsid w:val="00982948"/>
    <w:rsid w:val="00982AD5"/>
    <w:rsid w:val="00982F3D"/>
    <w:rsid w:val="0098333A"/>
    <w:rsid w:val="00983432"/>
    <w:rsid w:val="00983763"/>
    <w:rsid w:val="009837A5"/>
    <w:rsid w:val="009838A6"/>
    <w:rsid w:val="0098392C"/>
    <w:rsid w:val="0098464E"/>
    <w:rsid w:val="00984AA5"/>
    <w:rsid w:val="00984BCC"/>
    <w:rsid w:val="009850B0"/>
    <w:rsid w:val="0098524F"/>
    <w:rsid w:val="00985380"/>
    <w:rsid w:val="0098548B"/>
    <w:rsid w:val="009858AC"/>
    <w:rsid w:val="00985D0A"/>
    <w:rsid w:val="00985D47"/>
    <w:rsid w:val="00985E02"/>
    <w:rsid w:val="00985E86"/>
    <w:rsid w:val="00986072"/>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7D0"/>
    <w:rsid w:val="0099185B"/>
    <w:rsid w:val="00991909"/>
    <w:rsid w:val="00991AE6"/>
    <w:rsid w:val="00991BAA"/>
    <w:rsid w:val="009920D3"/>
    <w:rsid w:val="009924CE"/>
    <w:rsid w:val="00992724"/>
    <w:rsid w:val="00992A23"/>
    <w:rsid w:val="00992AEA"/>
    <w:rsid w:val="00992D78"/>
    <w:rsid w:val="00993026"/>
    <w:rsid w:val="009935EA"/>
    <w:rsid w:val="0099375A"/>
    <w:rsid w:val="00993806"/>
    <w:rsid w:val="00993D77"/>
    <w:rsid w:val="00994223"/>
    <w:rsid w:val="009946D7"/>
    <w:rsid w:val="00994E5F"/>
    <w:rsid w:val="00995073"/>
    <w:rsid w:val="00995222"/>
    <w:rsid w:val="0099567B"/>
    <w:rsid w:val="00995936"/>
    <w:rsid w:val="00995BA9"/>
    <w:rsid w:val="00995D44"/>
    <w:rsid w:val="0099646A"/>
    <w:rsid w:val="0099654F"/>
    <w:rsid w:val="00996697"/>
    <w:rsid w:val="00996982"/>
    <w:rsid w:val="00996A54"/>
    <w:rsid w:val="00996A9F"/>
    <w:rsid w:val="00996D47"/>
    <w:rsid w:val="009971A7"/>
    <w:rsid w:val="00997963"/>
    <w:rsid w:val="009979CE"/>
    <w:rsid w:val="00997B4C"/>
    <w:rsid w:val="00997DA7"/>
    <w:rsid w:val="00997FB8"/>
    <w:rsid w:val="009A00B2"/>
    <w:rsid w:val="009A053E"/>
    <w:rsid w:val="009A0A65"/>
    <w:rsid w:val="009A0EC4"/>
    <w:rsid w:val="009A1392"/>
    <w:rsid w:val="009A15CD"/>
    <w:rsid w:val="009A170A"/>
    <w:rsid w:val="009A1B2A"/>
    <w:rsid w:val="009A1CEA"/>
    <w:rsid w:val="009A1E46"/>
    <w:rsid w:val="009A2338"/>
    <w:rsid w:val="009A2447"/>
    <w:rsid w:val="009A2561"/>
    <w:rsid w:val="009A2865"/>
    <w:rsid w:val="009A2DC9"/>
    <w:rsid w:val="009A2E36"/>
    <w:rsid w:val="009A2FC6"/>
    <w:rsid w:val="009A383C"/>
    <w:rsid w:val="009A3A6F"/>
    <w:rsid w:val="009A3BEE"/>
    <w:rsid w:val="009A3C9C"/>
    <w:rsid w:val="009A3D4F"/>
    <w:rsid w:val="009A3EFC"/>
    <w:rsid w:val="009A40E1"/>
    <w:rsid w:val="009A42B5"/>
    <w:rsid w:val="009A4502"/>
    <w:rsid w:val="009A4862"/>
    <w:rsid w:val="009A4EDA"/>
    <w:rsid w:val="009A5014"/>
    <w:rsid w:val="009A5663"/>
    <w:rsid w:val="009A5C39"/>
    <w:rsid w:val="009A5DAE"/>
    <w:rsid w:val="009A5FE8"/>
    <w:rsid w:val="009A62A1"/>
    <w:rsid w:val="009A62CA"/>
    <w:rsid w:val="009A66DE"/>
    <w:rsid w:val="009A67E1"/>
    <w:rsid w:val="009A6887"/>
    <w:rsid w:val="009A6C8F"/>
    <w:rsid w:val="009A6E57"/>
    <w:rsid w:val="009A75EF"/>
    <w:rsid w:val="009B0038"/>
    <w:rsid w:val="009B04EC"/>
    <w:rsid w:val="009B054E"/>
    <w:rsid w:val="009B0A30"/>
    <w:rsid w:val="009B0BBA"/>
    <w:rsid w:val="009B0E9A"/>
    <w:rsid w:val="009B0FE6"/>
    <w:rsid w:val="009B1147"/>
    <w:rsid w:val="009B136F"/>
    <w:rsid w:val="009B14B0"/>
    <w:rsid w:val="009B164A"/>
    <w:rsid w:val="009B1BD4"/>
    <w:rsid w:val="009B1CC6"/>
    <w:rsid w:val="009B1F58"/>
    <w:rsid w:val="009B2035"/>
    <w:rsid w:val="009B2546"/>
    <w:rsid w:val="009B2689"/>
    <w:rsid w:val="009B2890"/>
    <w:rsid w:val="009B2C49"/>
    <w:rsid w:val="009B2C84"/>
    <w:rsid w:val="009B2FA4"/>
    <w:rsid w:val="009B3441"/>
    <w:rsid w:val="009B3450"/>
    <w:rsid w:val="009B3611"/>
    <w:rsid w:val="009B39E1"/>
    <w:rsid w:val="009B3AE1"/>
    <w:rsid w:val="009B3BAD"/>
    <w:rsid w:val="009B3E36"/>
    <w:rsid w:val="009B42D5"/>
    <w:rsid w:val="009B43E0"/>
    <w:rsid w:val="009B440F"/>
    <w:rsid w:val="009B4B6E"/>
    <w:rsid w:val="009B4C4D"/>
    <w:rsid w:val="009B4F35"/>
    <w:rsid w:val="009B4F95"/>
    <w:rsid w:val="009B5295"/>
    <w:rsid w:val="009B52FF"/>
    <w:rsid w:val="009B541A"/>
    <w:rsid w:val="009B5473"/>
    <w:rsid w:val="009B5850"/>
    <w:rsid w:val="009B5894"/>
    <w:rsid w:val="009B61E9"/>
    <w:rsid w:val="009B665B"/>
    <w:rsid w:val="009B6E12"/>
    <w:rsid w:val="009B6EB2"/>
    <w:rsid w:val="009B6ED0"/>
    <w:rsid w:val="009B71A8"/>
    <w:rsid w:val="009B7243"/>
    <w:rsid w:val="009B72A5"/>
    <w:rsid w:val="009B7402"/>
    <w:rsid w:val="009B75DC"/>
    <w:rsid w:val="009B7767"/>
    <w:rsid w:val="009B7953"/>
    <w:rsid w:val="009C0027"/>
    <w:rsid w:val="009C0264"/>
    <w:rsid w:val="009C0547"/>
    <w:rsid w:val="009C05E5"/>
    <w:rsid w:val="009C0837"/>
    <w:rsid w:val="009C0C11"/>
    <w:rsid w:val="009C148E"/>
    <w:rsid w:val="009C15FE"/>
    <w:rsid w:val="009C1710"/>
    <w:rsid w:val="009C190E"/>
    <w:rsid w:val="009C1DB9"/>
    <w:rsid w:val="009C1F25"/>
    <w:rsid w:val="009C20D4"/>
    <w:rsid w:val="009C236F"/>
    <w:rsid w:val="009C250E"/>
    <w:rsid w:val="009C29A7"/>
    <w:rsid w:val="009C29D9"/>
    <w:rsid w:val="009C2F78"/>
    <w:rsid w:val="009C2FAB"/>
    <w:rsid w:val="009C3063"/>
    <w:rsid w:val="009C3331"/>
    <w:rsid w:val="009C382D"/>
    <w:rsid w:val="009C39A6"/>
    <w:rsid w:val="009C3A52"/>
    <w:rsid w:val="009C3CC4"/>
    <w:rsid w:val="009C3DF5"/>
    <w:rsid w:val="009C3E0F"/>
    <w:rsid w:val="009C48A4"/>
    <w:rsid w:val="009C4B2E"/>
    <w:rsid w:val="009C4CFF"/>
    <w:rsid w:val="009C4F88"/>
    <w:rsid w:val="009C5215"/>
    <w:rsid w:val="009C538C"/>
    <w:rsid w:val="009C54E0"/>
    <w:rsid w:val="009C5534"/>
    <w:rsid w:val="009C5738"/>
    <w:rsid w:val="009C5B01"/>
    <w:rsid w:val="009C5C75"/>
    <w:rsid w:val="009C5CB8"/>
    <w:rsid w:val="009C5DDC"/>
    <w:rsid w:val="009C6243"/>
    <w:rsid w:val="009C6335"/>
    <w:rsid w:val="009C6A9C"/>
    <w:rsid w:val="009C6BB4"/>
    <w:rsid w:val="009C6E5E"/>
    <w:rsid w:val="009C7445"/>
    <w:rsid w:val="009C792A"/>
    <w:rsid w:val="009C7B79"/>
    <w:rsid w:val="009C7CF5"/>
    <w:rsid w:val="009D00A4"/>
    <w:rsid w:val="009D0186"/>
    <w:rsid w:val="009D0381"/>
    <w:rsid w:val="009D0EC2"/>
    <w:rsid w:val="009D146C"/>
    <w:rsid w:val="009D1762"/>
    <w:rsid w:val="009D1799"/>
    <w:rsid w:val="009D1A8E"/>
    <w:rsid w:val="009D1C1C"/>
    <w:rsid w:val="009D1DDF"/>
    <w:rsid w:val="009D21F9"/>
    <w:rsid w:val="009D237D"/>
    <w:rsid w:val="009D244E"/>
    <w:rsid w:val="009D27F0"/>
    <w:rsid w:val="009D2CFC"/>
    <w:rsid w:val="009D318B"/>
    <w:rsid w:val="009D3406"/>
    <w:rsid w:val="009D342E"/>
    <w:rsid w:val="009D3996"/>
    <w:rsid w:val="009D3B78"/>
    <w:rsid w:val="009D3C3B"/>
    <w:rsid w:val="009D3EAA"/>
    <w:rsid w:val="009D3FDE"/>
    <w:rsid w:val="009D413B"/>
    <w:rsid w:val="009D4258"/>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CC3"/>
    <w:rsid w:val="009D6F7D"/>
    <w:rsid w:val="009D7258"/>
    <w:rsid w:val="009D7268"/>
    <w:rsid w:val="009D743E"/>
    <w:rsid w:val="009D745E"/>
    <w:rsid w:val="009D75D9"/>
    <w:rsid w:val="009D766B"/>
    <w:rsid w:val="009D773A"/>
    <w:rsid w:val="009E05B8"/>
    <w:rsid w:val="009E0990"/>
    <w:rsid w:val="009E0AF9"/>
    <w:rsid w:val="009E0D5A"/>
    <w:rsid w:val="009E0E1F"/>
    <w:rsid w:val="009E1095"/>
    <w:rsid w:val="009E13F8"/>
    <w:rsid w:val="009E1733"/>
    <w:rsid w:val="009E1A4B"/>
    <w:rsid w:val="009E1DFF"/>
    <w:rsid w:val="009E201F"/>
    <w:rsid w:val="009E251D"/>
    <w:rsid w:val="009E252B"/>
    <w:rsid w:val="009E2621"/>
    <w:rsid w:val="009E2CB8"/>
    <w:rsid w:val="009E2FAB"/>
    <w:rsid w:val="009E315D"/>
    <w:rsid w:val="009E3347"/>
    <w:rsid w:val="009E3621"/>
    <w:rsid w:val="009E364A"/>
    <w:rsid w:val="009E3A71"/>
    <w:rsid w:val="009E3B66"/>
    <w:rsid w:val="009E3C44"/>
    <w:rsid w:val="009E3C54"/>
    <w:rsid w:val="009E3E87"/>
    <w:rsid w:val="009E3FED"/>
    <w:rsid w:val="009E40F0"/>
    <w:rsid w:val="009E4226"/>
    <w:rsid w:val="009E43A6"/>
    <w:rsid w:val="009E4483"/>
    <w:rsid w:val="009E4520"/>
    <w:rsid w:val="009E465B"/>
    <w:rsid w:val="009E4A00"/>
    <w:rsid w:val="009E4CA4"/>
    <w:rsid w:val="009E52E0"/>
    <w:rsid w:val="009E55EF"/>
    <w:rsid w:val="009E581A"/>
    <w:rsid w:val="009E582F"/>
    <w:rsid w:val="009E5832"/>
    <w:rsid w:val="009E5A68"/>
    <w:rsid w:val="009E5FAD"/>
    <w:rsid w:val="009E6601"/>
    <w:rsid w:val="009E66BF"/>
    <w:rsid w:val="009E6911"/>
    <w:rsid w:val="009E695E"/>
    <w:rsid w:val="009E6A05"/>
    <w:rsid w:val="009E6E52"/>
    <w:rsid w:val="009E7098"/>
    <w:rsid w:val="009E7340"/>
    <w:rsid w:val="009E7550"/>
    <w:rsid w:val="009E75C9"/>
    <w:rsid w:val="009E78CC"/>
    <w:rsid w:val="009E79F5"/>
    <w:rsid w:val="009E7C96"/>
    <w:rsid w:val="009F02EB"/>
    <w:rsid w:val="009F0432"/>
    <w:rsid w:val="009F05B0"/>
    <w:rsid w:val="009F05EB"/>
    <w:rsid w:val="009F063A"/>
    <w:rsid w:val="009F0C4B"/>
    <w:rsid w:val="009F0D33"/>
    <w:rsid w:val="009F0EFA"/>
    <w:rsid w:val="009F0F13"/>
    <w:rsid w:val="009F0F44"/>
    <w:rsid w:val="009F14E7"/>
    <w:rsid w:val="009F153D"/>
    <w:rsid w:val="009F15CC"/>
    <w:rsid w:val="009F171A"/>
    <w:rsid w:val="009F175A"/>
    <w:rsid w:val="009F2AE2"/>
    <w:rsid w:val="009F2B35"/>
    <w:rsid w:val="009F2D0E"/>
    <w:rsid w:val="009F300C"/>
    <w:rsid w:val="009F3621"/>
    <w:rsid w:val="009F38C7"/>
    <w:rsid w:val="009F3B5D"/>
    <w:rsid w:val="009F3B67"/>
    <w:rsid w:val="009F3DF0"/>
    <w:rsid w:val="009F3FE2"/>
    <w:rsid w:val="009F42B7"/>
    <w:rsid w:val="009F431E"/>
    <w:rsid w:val="009F473A"/>
    <w:rsid w:val="009F49E7"/>
    <w:rsid w:val="009F4A81"/>
    <w:rsid w:val="009F4AA1"/>
    <w:rsid w:val="009F4F26"/>
    <w:rsid w:val="009F532E"/>
    <w:rsid w:val="009F544D"/>
    <w:rsid w:val="009F54EB"/>
    <w:rsid w:val="009F5D97"/>
    <w:rsid w:val="009F6004"/>
    <w:rsid w:val="009F632D"/>
    <w:rsid w:val="009F6C45"/>
    <w:rsid w:val="009F7347"/>
    <w:rsid w:val="009F7592"/>
    <w:rsid w:val="009F7893"/>
    <w:rsid w:val="009F7939"/>
    <w:rsid w:val="00A001BC"/>
    <w:rsid w:val="00A0031C"/>
    <w:rsid w:val="00A00577"/>
    <w:rsid w:val="00A00686"/>
    <w:rsid w:val="00A008A4"/>
    <w:rsid w:val="00A009AA"/>
    <w:rsid w:val="00A00D94"/>
    <w:rsid w:val="00A00F89"/>
    <w:rsid w:val="00A0101D"/>
    <w:rsid w:val="00A01233"/>
    <w:rsid w:val="00A01296"/>
    <w:rsid w:val="00A01313"/>
    <w:rsid w:val="00A01979"/>
    <w:rsid w:val="00A01AF7"/>
    <w:rsid w:val="00A01DCE"/>
    <w:rsid w:val="00A01F44"/>
    <w:rsid w:val="00A02184"/>
    <w:rsid w:val="00A022D6"/>
    <w:rsid w:val="00A0244F"/>
    <w:rsid w:val="00A02651"/>
    <w:rsid w:val="00A02D6C"/>
    <w:rsid w:val="00A02DC5"/>
    <w:rsid w:val="00A03233"/>
    <w:rsid w:val="00A032F1"/>
    <w:rsid w:val="00A03482"/>
    <w:rsid w:val="00A034B4"/>
    <w:rsid w:val="00A03C15"/>
    <w:rsid w:val="00A03CAE"/>
    <w:rsid w:val="00A03F2B"/>
    <w:rsid w:val="00A0406F"/>
    <w:rsid w:val="00A04078"/>
    <w:rsid w:val="00A0440D"/>
    <w:rsid w:val="00A04444"/>
    <w:rsid w:val="00A04615"/>
    <w:rsid w:val="00A0481C"/>
    <w:rsid w:val="00A0497C"/>
    <w:rsid w:val="00A04A68"/>
    <w:rsid w:val="00A04FD6"/>
    <w:rsid w:val="00A05062"/>
    <w:rsid w:val="00A0541D"/>
    <w:rsid w:val="00A05D9C"/>
    <w:rsid w:val="00A060AB"/>
    <w:rsid w:val="00A0657F"/>
    <w:rsid w:val="00A067CA"/>
    <w:rsid w:val="00A0698C"/>
    <w:rsid w:val="00A06A5D"/>
    <w:rsid w:val="00A06AA8"/>
    <w:rsid w:val="00A06E96"/>
    <w:rsid w:val="00A070D7"/>
    <w:rsid w:val="00A07476"/>
    <w:rsid w:val="00A077A9"/>
    <w:rsid w:val="00A07A98"/>
    <w:rsid w:val="00A07AEF"/>
    <w:rsid w:val="00A07B45"/>
    <w:rsid w:val="00A07C99"/>
    <w:rsid w:val="00A07DF2"/>
    <w:rsid w:val="00A07F70"/>
    <w:rsid w:val="00A10713"/>
    <w:rsid w:val="00A10971"/>
    <w:rsid w:val="00A10EAB"/>
    <w:rsid w:val="00A1115A"/>
    <w:rsid w:val="00A111DC"/>
    <w:rsid w:val="00A113B4"/>
    <w:rsid w:val="00A117B5"/>
    <w:rsid w:val="00A1190D"/>
    <w:rsid w:val="00A11C35"/>
    <w:rsid w:val="00A11D31"/>
    <w:rsid w:val="00A11FA3"/>
    <w:rsid w:val="00A12B4E"/>
    <w:rsid w:val="00A12C92"/>
    <w:rsid w:val="00A12D96"/>
    <w:rsid w:val="00A13398"/>
    <w:rsid w:val="00A13689"/>
    <w:rsid w:val="00A13952"/>
    <w:rsid w:val="00A13C9B"/>
    <w:rsid w:val="00A13D73"/>
    <w:rsid w:val="00A13DDF"/>
    <w:rsid w:val="00A13F85"/>
    <w:rsid w:val="00A14238"/>
    <w:rsid w:val="00A1475D"/>
    <w:rsid w:val="00A14823"/>
    <w:rsid w:val="00A1490E"/>
    <w:rsid w:val="00A14E5A"/>
    <w:rsid w:val="00A157E8"/>
    <w:rsid w:val="00A15B01"/>
    <w:rsid w:val="00A15F97"/>
    <w:rsid w:val="00A160F6"/>
    <w:rsid w:val="00A162CE"/>
    <w:rsid w:val="00A1665E"/>
    <w:rsid w:val="00A167DC"/>
    <w:rsid w:val="00A1689B"/>
    <w:rsid w:val="00A16C76"/>
    <w:rsid w:val="00A16D78"/>
    <w:rsid w:val="00A176F5"/>
    <w:rsid w:val="00A177B6"/>
    <w:rsid w:val="00A178AC"/>
    <w:rsid w:val="00A178C4"/>
    <w:rsid w:val="00A17ACE"/>
    <w:rsid w:val="00A17E47"/>
    <w:rsid w:val="00A20821"/>
    <w:rsid w:val="00A208D2"/>
    <w:rsid w:val="00A209AC"/>
    <w:rsid w:val="00A20A4C"/>
    <w:rsid w:val="00A20A52"/>
    <w:rsid w:val="00A2146A"/>
    <w:rsid w:val="00A21579"/>
    <w:rsid w:val="00A217DD"/>
    <w:rsid w:val="00A21A34"/>
    <w:rsid w:val="00A21B24"/>
    <w:rsid w:val="00A21B5A"/>
    <w:rsid w:val="00A21B8F"/>
    <w:rsid w:val="00A21D67"/>
    <w:rsid w:val="00A21D70"/>
    <w:rsid w:val="00A21EA2"/>
    <w:rsid w:val="00A21FDD"/>
    <w:rsid w:val="00A223C3"/>
    <w:rsid w:val="00A22C83"/>
    <w:rsid w:val="00A2317B"/>
    <w:rsid w:val="00A232ED"/>
    <w:rsid w:val="00A23316"/>
    <w:rsid w:val="00A239C2"/>
    <w:rsid w:val="00A2435B"/>
    <w:rsid w:val="00A243ED"/>
    <w:rsid w:val="00A2457F"/>
    <w:rsid w:val="00A2458D"/>
    <w:rsid w:val="00A245EF"/>
    <w:rsid w:val="00A2462F"/>
    <w:rsid w:val="00A24D04"/>
    <w:rsid w:val="00A24D77"/>
    <w:rsid w:val="00A24DC2"/>
    <w:rsid w:val="00A24F8D"/>
    <w:rsid w:val="00A25342"/>
    <w:rsid w:val="00A2535F"/>
    <w:rsid w:val="00A25A76"/>
    <w:rsid w:val="00A25BA1"/>
    <w:rsid w:val="00A25D62"/>
    <w:rsid w:val="00A26204"/>
    <w:rsid w:val="00A26703"/>
    <w:rsid w:val="00A2696B"/>
    <w:rsid w:val="00A26A82"/>
    <w:rsid w:val="00A26AF3"/>
    <w:rsid w:val="00A26D42"/>
    <w:rsid w:val="00A272B0"/>
    <w:rsid w:val="00A272CC"/>
    <w:rsid w:val="00A272D9"/>
    <w:rsid w:val="00A27882"/>
    <w:rsid w:val="00A278E9"/>
    <w:rsid w:val="00A27B30"/>
    <w:rsid w:val="00A302AD"/>
    <w:rsid w:val="00A30693"/>
    <w:rsid w:val="00A30A44"/>
    <w:rsid w:val="00A310F8"/>
    <w:rsid w:val="00A3123A"/>
    <w:rsid w:val="00A3178A"/>
    <w:rsid w:val="00A318A3"/>
    <w:rsid w:val="00A31B93"/>
    <w:rsid w:val="00A32244"/>
    <w:rsid w:val="00A3226A"/>
    <w:rsid w:val="00A32420"/>
    <w:rsid w:val="00A324C4"/>
    <w:rsid w:val="00A32D4A"/>
    <w:rsid w:val="00A332D9"/>
    <w:rsid w:val="00A336F5"/>
    <w:rsid w:val="00A33B9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BE"/>
    <w:rsid w:val="00A42EDF"/>
    <w:rsid w:val="00A432D0"/>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9B0"/>
    <w:rsid w:val="00A47DD9"/>
    <w:rsid w:val="00A50020"/>
    <w:rsid w:val="00A50478"/>
    <w:rsid w:val="00A50713"/>
    <w:rsid w:val="00A5096C"/>
    <w:rsid w:val="00A50D33"/>
    <w:rsid w:val="00A51145"/>
    <w:rsid w:val="00A513CD"/>
    <w:rsid w:val="00A51527"/>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A15"/>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3BC"/>
    <w:rsid w:val="00A57451"/>
    <w:rsid w:val="00A5745E"/>
    <w:rsid w:val="00A577D7"/>
    <w:rsid w:val="00A57836"/>
    <w:rsid w:val="00A579D7"/>
    <w:rsid w:val="00A57B11"/>
    <w:rsid w:val="00A57D89"/>
    <w:rsid w:val="00A57F45"/>
    <w:rsid w:val="00A6063E"/>
    <w:rsid w:val="00A6083C"/>
    <w:rsid w:val="00A609F4"/>
    <w:rsid w:val="00A60B02"/>
    <w:rsid w:val="00A60C85"/>
    <w:rsid w:val="00A60E73"/>
    <w:rsid w:val="00A61114"/>
    <w:rsid w:val="00A611C0"/>
    <w:rsid w:val="00A611E6"/>
    <w:rsid w:val="00A614BB"/>
    <w:rsid w:val="00A61697"/>
    <w:rsid w:val="00A618D7"/>
    <w:rsid w:val="00A61D21"/>
    <w:rsid w:val="00A61DDE"/>
    <w:rsid w:val="00A61FF8"/>
    <w:rsid w:val="00A62153"/>
    <w:rsid w:val="00A621E4"/>
    <w:rsid w:val="00A624FC"/>
    <w:rsid w:val="00A62865"/>
    <w:rsid w:val="00A634B6"/>
    <w:rsid w:val="00A63582"/>
    <w:rsid w:val="00A63B60"/>
    <w:rsid w:val="00A63BB3"/>
    <w:rsid w:val="00A63C80"/>
    <w:rsid w:val="00A644B9"/>
    <w:rsid w:val="00A645F7"/>
    <w:rsid w:val="00A64960"/>
    <w:rsid w:val="00A64F5E"/>
    <w:rsid w:val="00A64F61"/>
    <w:rsid w:val="00A64FA2"/>
    <w:rsid w:val="00A6507F"/>
    <w:rsid w:val="00A652ED"/>
    <w:rsid w:val="00A653F6"/>
    <w:rsid w:val="00A6556A"/>
    <w:rsid w:val="00A65646"/>
    <w:rsid w:val="00A6589A"/>
    <w:rsid w:val="00A65A1E"/>
    <w:rsid w:val="00A66228"/>
    <w:rsid w:val="00A6629E"/>
    <w:rsid w:val="00A6686F"/>
    <w:rsid w:val="00A66E09"/>
    <w:rsid w:val="00A67010"/>
    <w:rsid w:val="00A676DC"/>
    <w:rsid w:val="00A67C0E"/>
    <w:rsid w:val="00A67F71"/>
    <w:rsid w:val="00A70271"/>
    <w:rsid w:val="00A70CB7"/>
    <w:rsid w:val="00A70EB6"/>
    <w:rsid w:val="00A70FA9"/>
    <w:rsid w:val="00A7155B"/>
    <w:rsid w:val="00A7160C"/>
    <w:rsid w:val="00A71828"/>
    <w:rsid w:val="00A7217E"/>
    <w:rsid w:val="00A724ED"/>
    <w:rsid w:val="00A72641"/>
    <w:rsid w:val="00A72CEA"/>
    <w:rsid w:val="00A72DC9"/>
    <w:rsid w:val="00A73100"/>
    <w:rsid w:val="00A7313F"/>
    <w:rsid w:val="00A734D8"/>
    <w:rsid w:val="00A7371E"/>
    <w:rsid w:val="00A7377C"/>
    <w:rsid w:val="00A73D42"/>
    <w:rsid w:val="00A74340"/>
    <w:rsid w:val="00A745B4"/>
    <w:rsid w:val="00A746A1"/>
    <w:rsid w:val="00A74AA8"/>
    <w:rsid w:val="00A74B81"/>
    <w:rsid w:val="00A75349"/>
    <w:rsid w:val="00A754B7"/>
    <w:rsid w:val="00A7555C"/>
    <w:rsid w:val="00A76090"/>
    <w:rsid w:val="00A761B4"/>
    <w:rsid w:val="00A7649A"/>
    <w:rsid w:val="00A76914"/>
    <w:rsid w:val="00A76C3E"/>
    <w:rsid w:val="00A76EDC"/>
    <w:rsid w:val="00A76FE7"/>
    <w:rsid w:val="00A770CD"/>
    <w:rsid w:val="00A772AE"/>
    <w:rsid w:val="00A775CD"/>
    <w:rsid w:val="00A7770E"/>
    <w:rsid w:val="00A77CE9"/>
    <w:rsid w:val="00A77F62"/>
    <w:rsid w:val="00A801C5"/>
    <w:rsid w:val="00A8026B"/>
    <w:rsid w:val="00A802B5"/>
    <w:rsid w:val="00A804F3"/>
    <w:rsid w:val="00A80875"/>
    <w:rsid w:val="00A8169E"/>
    <w:rsid w:val="00A8171B"/>
    <w:rsid w:val="00A819FE"/>
    <w:rsid w:val="00A81C7B"/>
    <w:rsid w:val="00A8200F"/>
    <w:rsid w:val="00A825BD"/>
    <w:rsid w:val="00A826B7"/>
    <w:rsid w:val="00A82A78"/>
    <w:rsid w:val="00A82BA4"/>
    <w:rsid w:val="00A83093"/>
    <w:rsid w:val="00A834D3"/>
    <w:rsid w:val="00A837AD"/>
    <w:rsid w:val="00A83A29"/>
    <w:rsid w:val="00A84005"/>
    <w:rsid w:val="00A840D0"/>
    <w:rsid w:val="00A8432B"/>
    <w:rsid w:val="00A844C7"/>
    <w:rsid w:val="00A845A4"/>
    <w:rsid w:val="00A8472F"/>
    <w:rsid w:val="00A853AF"/>
    <w:rsid w:val="00A85700"/>
    <w:rsid w:val="00A858F7"/>
    <w:rsid w:val="00A85A5B"/>
    <w:rsid w:val="00A85A63"/>
    <w:rsid w:val="00A85A87"/>
    <w:rsid w:val="00A85CC3"/>
    <w:rsid w:val="00A85D96"/>
    <w:rsid w:val="00A85E32"/>
    <w:rsid w:val="00A861A9"/>
    <w:rsid w:val="00A8621B"/>
    <w:rsid w:val="00A862F5"/>
    <w:rsid w:val="00A863AD"/>
    <w:rsid w:val="00A86506"/>
    <w:rsid w:val="00A86613"/>
    <w:rsid w:val="00A86801"/>
    <w:rsid w:val="00A86E6B"/>
    <w:rsid w:val="00A870E4"/>
    <w:rsid w:val="00A8714D"/>
    <w:rsid w:val="00A874D7"/>
    <w:rsid w:val="00A87745"/>
    <w:rsid w:val="00A877ED"/>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C71"/>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46"/>
    <w:rsid w:val="00A97FD7"/>
    <w:rsid w:val="00AA00F6"/>
    <w:rsid w:val="00AA0DD5"/>
    <w:rsid w:val="00AA0EB7"/>
    <w:rsid w:val="00AA106C"/>
    <w:rsid w:val="00AA116D"/>
    <w:rsid w:val="00AA122E"/>
    <w:rsid w:val="00AA13EC"/>
    <w:rsid w:val="00AA1705"/>
    <w:rsid w:val="00AA1B56"/>
    <w:rsid w:val="00AA1F4F"/>
    <w:rsid w:val="00AA2442"/>
    <w:rsid w:val="00AA2860"/>
    <w:rsid w:val="00AA2D95"/>
    <w:rsid w:val="00AA36EC"/>
    <w:rsid w:val="00AA37C6"/>
    <w:rsid w:val="00AA3A56"/>
    <w:rsid w:val="00AA3B0F"/>
    <w:rsid w:val="00AA3D68"/>
    <w:rsid w:val="00AA3DD5"/>
    <w:rsid w:val="00AA3E4B"/>
    <w:rsid w:val="00AA3FB6"/>
    <w:rsid w:val="00AA41C7"/>
    <w:rsid w:val="00AA4789"/>
    <w:rsid w:val="00AA478B"/>
    <w:rsid w:val="00AA4C69"/>
    <w:rsid w:val="00AA5207"/>
    <w:rsid w:val="00AA56C3"/>
    <w:rsid w:val="00AA570D"/>
    <w:rsid w:val="00AA5D61"/>
    <w:rsid w:val="00AA5DE1"/>
    <w:rsid w:val="00AA5F06"/>
    <w:rsid w:val="00AA6166"/>
    <w:rsid w:val="00AA66BF"/>
    <w:rsid w:val="00AA672A"/>
    <w:rsid w:val="00AA6D8B"/>
    <w:rsid w:val="00AA6DF1"/>
    <w:rsid w:val="00AA6DFA"/>
    <w:rsid w:val="00AA6FEE"/>
    <w:rsid w:val="00AA73E2"/>
    <w:rsid w:val="00AA7491"/>
    <w:rsid w:val="00AA7773"/>
    <w:rsid w:val="00AA79B2"/>
    <w:rsid w:val="00AB00E4"/>
    <w:rsid w:val="00AB01F2"/>
    <w:rsid w:val="00AB0451"/>
    <w:rsid w:val="00AB0A3F"/>
    <w:rsid w:val="00AB0D90"/>
    <w:rsid w:val="00AB0EBE"/>
    <w:rsid w:val="00AB0FB2"/>
    <w:rsid w:val="00AB11DB"/>
    <w:rsid w:val="00AB18D9"/>
    <w:rsid w:val="00AB1C3D"/>
    <w:rsid w:val="00AB1C4E"/>
    <w:rsid w:val="00AB2233"/>
    <w:rsid w:val="00AB22CB"/>
    <w:rsid w:val="00AB262E"/>
    <w:rsid w:val="00AB2736"/>
    <w:rsid w:val="00AB2BBF"/>
    <w:rsid w:val="00AB30DD"/>
    <w:rsid w:val="00AB3253"/>
    <w:rsid w:val="00AB3311"/>
    <w:rsid w:val="00AB3A0A"/>
    <w:rsid w:val="00AB3E60"/>
    <w:rsid w:val="00AB3F0A"/>
    <w:rsid w:val="00AB3FF0"/>
    <w:rsid w:val="00AB42D8"/>
    <w:rsid w:val="00AB4867"/>
    <w:rsid w:val="00AB4983"/>
    <w:rsid w:val="00AB4A26"/>
    <w:rsid w:val="00AB4F3F"/>
    <w:rsid w:val="00AB4FA8"/>
    <w:rsid w:val="00AB5460"/>
    <w:rsid w:val="00AB57C9"/>
    <w:rsid w:val="00AB590A"/>
    <w:rsid w:val="00AB5B25"/>
    <w:rsid w:val="00AB5C99"/>
    <w:rsid w:val="00AB5DE9"/>
    <w:rsid w:val="00AB5FCF"/>
    <w:rsid w:val="00AB642C"/>
    <w:rsid w:val="00AB65AD"/>
    <w:rsid w:val="00AB706B"/>
    <w:rsid w:val="00AB7259"/>
    <w:rsid w:val="00AB7261"/>
    <w:rsid w:val="00AB7407"/>
    <w:rsid w:val="00AB75F9"/>
    <w:rsid w:val="00AB7EB9"/>
    <w:rsid w:val="00AB7FB9"/>
    <w:rsid w:val="00AC0940"/>
    <w:rsid w:val="00AC0A52"/>
    <w:rsid w:val="00AC0AD9"/>
    <w:rsid w:val="00AC0FF2"/>
    <w:rsid w:val="00AC1008"/>
    <w:rsid w:val="00AC116B"/>
    <w:rsid w:val="00AC11C1"/>
    <w:rsid w:val="00AC1233"/>
    <w:rsid w:val="00AC163C"/>
    <w:rsid w:val="00AC185E"/>
    <w:rsid w:val="00AC1C31"/>
    <w:rsid w:val="00AC1D8E"/>
    <w:rsid w:val="00AC1E67"/>
    <w:rsid w:val="00AC2275"/>
    <w:rsid w:val="00AC2B46"/>
    <w:rsid w:val="00AC2CB9"/>
    <w:rsid w:val="00AC2FD0"/>
    <w:rsid w:val="00AC3364"/>
    <w:rsid w:val="00AC358D"/>
    <w:rsid w:val="00AC38DA"/>
    <w:rsid w:val="00AC3A3C"/>
    <w:rsid w:val="00AC3C2C"/>
    <w:rsid w:val="00AC3F2A"/>
    <w:rsid w:val="00AC413A"/>
    <w:rsid w:val="00AC4154"/>
    <w:rsid w:val="00AC44A6"/>
    <w:rsid w:val="00AC455C"/>
    <w:rsid w:val="00AC4677"/>
    <w:rsid w:val="00AC4795"/>
    <w:rsid w:val="00AC47C9"/>
    <w:rsid w:val="00AC4AFA"/>
    <w:rsid w:val="00AC4B7E"/>
    <w:rsid w:val="00AC51D7"/>
    <w:rsid w:val="00AC5322"/>
    <w:rsid w:val="00AC5443"/>
    <w:rsid w:val="00AC55CC"/>
    <w:rsid w:val="00AC5791"/>
    <w:rsid w:val="00AC5972"/>
    <w:rsid w:val="00AC5A69"/>
    <w:rsid w:val="00AC5B18"/>
    <w:rsid w:val="00AC5C93"/>
    <w:rsid w:val="00AC6019"/>
    <w:rsid w:val="00AC6386"/>
    <w:rsid w:val="00AC65D3"/>
    <w:rsid w:val="00AC6929"/>
    <w:rsid w:val="00AC6AD2"/>
    <w:rsid w:val="00AC6EE5"/>
    <w:rsid w:val="00AC70BA"/>
    <w:rsid w:val="00AC73AC"/>
    <w:rsid w:val="00AC776F"/>
    <w:rsid w:val="00AC78B1"/>
    <w:rsid w:val="00AC7C93"/>
    <w:rsid w:val="00AC7CC7"/>
    <w:rsid w:val="00AC7E21"/>
    <w:rsid w:val="00AC7F27"/>
    <w:rsid w:val="00AC7F6A"/>
    <w:rsid w:val="00AD0055"/>
    <w:rsid w:val="00AD02C3"/>
    <w:rsid w:val="00AD0607"/>
    <w:rsid w:val="00AD0FC3"/>
    <w:rsid w:val="00AD1007"/>
    <w:rsid w:val="00AD1140"/>
    <w:rsid w:val="00AD161A"/>
    <w:rsid w:val="00AD1B1F"/>
    <w:rsid w:val="00AD1BC1"/>
    <w:rsid w:val="00AD1BFE"/>
    <w:rsid w:val="00AD1E0F"/>
    <w:rsid w:val="00AD1E89"/>
    <w:rsid w:val="00AD1F7B"/>
    <w:rsid w:val="00AD27CE"/>
    <w:rsid w:val="00AD2924"/>
    <w:rsid w:val="00AD2D66"/>
    <w:rsid w:val="00AD2DF3"/>
    <w:rsid w:val="00AD2F3B"/>
    <w:rsid w:val="00AD3201"/>
    <w:rsid w:val="00AD324F"/>
    <w:rsid w:val="00AD39BB"/>
    <w:rsid w:val="00AD3A40"/>
    <w:rsid w:val="00AD3B76"/>
    <w:rsid w:val="00AD3D87"/>
    <w:rsid w:val="00AD3DDF"/>
    <w:rsid w:val="00AD3EBD"/>
    <w:rsid w:val="00AD3F9E"/>
    <w:rsid w:val="00AD4039"/>
    <w:rsid w:val="00AD4204"/>
    <w:rsid w:val="00AD46B7"/>
    <w:rsid w:val="00AD48D6"/>
    <w:rsid w:val="00AD49DC"/>
    <w:rsid w:val="00AD4B20"/>
    <w:rsid w:val="00AD4DAC"/>
    <w:rsid w:val="00AD517A"/>
    <w:rsid w:val="00AD524F"/>
    <w:rsid w:val="00AD590E"/>
    <w:rsid w:val="00AD5C78"/>
    <w:rsid w:val="00AD601F"/>
    <w:rsid w:val="00AD6158"/>
    <w:rsid w:val="00AD63F8"/>
    <w:rsid w:val="00AD6815"/>
    <w:rsid w:val="00AD6ABA"/>
    <w:rsid w:val="00AD6DD1"/>
    <w:rsid w:val="00AD6FF4"/>
    <w:rsid w:val="00AD7079"/>
    <w:rsid w:val="00AD7084"/>
    <w:rsid w:val="00AD7113"/>
    <w:rsid w:val="00AD74A6"/>
    <w:rsid w:val="00AD7540"/>
    <w:rsid w:val="00AD7688"/>
    <w:rsid w:val="00AD7B35"/>
    <w:rsid w:val="00AD7C3B"/>
    <w:rsid w:val="00AD7D96"/>
    <w:rsid w:val="00AD7FE1"/>
    <w:rsid w:val="00AE01B8"/>
    <w:rsid w:val="00AE02B1"/>
    <w:rsid w:val="00AE04DF"/>
    <w:rsid w:val="00AE0A8E"/>
    <w:rsid w:val="00AE0DEE"/>
    <w:rsid w:val="00AE1065"/>
    <w:rsid w:val="00AE1393"/>
    <w:rsid w:val="00AE1F55"/>
    <w:rsid w:val="00AE1F62"/>
    <w:rsid w:val="00AE201B"/>
    <w:rsid w:val="00AE2530"/>
    <w:rsid w:val="00AE29AD"/>
    <w:rsid w:val="00AE2B83"/>
    <w:rsid w:val="00AE3031"/>
    <w:rsid w:val="00AE355A"/>
    <w:rsid w:val="00AE39C2"/>
    <w:rsid w:val="00AE3B12"/>
    <w:rsid w:val="00AE3C6B"/>
    <w:rsid w:val="00AE4676"/>
    <w:rsid w:val="00AE46DC"/>
    <w:rsid w:val="00AE46FF"/>
    <w:rsid w:val="00AE472C"/>
    <w:rsid w:val="00AE47BA"/>
    <w:rsid w:val="00AE4F51"/>
    <w:rsid w:val="00AE51BC"/>
    <w:rsid w:val="00AE5494"/>
    <w:rsid w:val="00AE5558"/>
    <w:rsid w:val="00AE5C20"/>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733"/>
    <w:rsid w:val="00AF1D20"/>
    <w:rsid w:val="00AF1F86"/>
    <w:rsid w:val="00AF2447"/>
    <w:rsid w:val="00AF2591"/>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8F"/>
    <w:rsid w:val="00AF58C7"/>
    <w:rsid w:val="00AF5AA1"/>
    <w:rsid w:val="00AF65F6"/>
    <w:rsid w:val="00AF669B"/>
    <w:rsid w:val="00AF6AC5"/>
    <w:rsid w:val="00AF711A"/>
    <w:rsid w:val="00AF71F6"/>
    <w:rsid w:val="00AF733D"/>
    <w:rsid w:val="00AF79BD"/>
    <w:rsid w:val="00AF7A2F"/>
    <w:rsid w:val="00AF7AD4"/>
    <w:rsid w:val="00B0005E"/>
    <w:rsid w:val="00B005DE"/>
    <w:rsid w:val="00B00A77"/>
    <w:rsid w:val="00B00E62"/>
    <w:rsid w:val="00B00E87"/>
    <w:rsid w:val="00B011CB"/>
    <w:rsid w:val="00B01449"/>
    <w:rsid w:val="00B01AE2"/>
    <w:rsid w:val="00B01FD0"/>
    <w:rsid w:val="00B02C5C"/>
    <w:rsid w:val="00B02D6A"/>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F62"/>
    <w:rsid w:val="00B051EB"/>
    <w:rsid w:val="00B05C93"/>
    <w:rsid w:val="00B06133"/>
    <w:rsid w:val="00B062E0"/>
    <w:rsid w:val="00B068A5"/>
    <w:rsid w:val="00B06A71"/>
    <w:rsid w:val="00B06F62"/>
    <w:rsid w:val="00B07414"/>
    <w:rsid w:val="00B07919"/>
    <w:rsid w:val="00B0797D"/>
    <w:rsid w:val="00B07E81"/>
    <w:rsid w:val="00B07ED5"/>
    <w:rsid w:val="00B0C3C7"/>
    <w:rsid w:val="00B101AF"/>
    <w:rsid w:val="00B101E2"/>
    <w:rsid w:val="00B10644"/>
    <w:rsid w:val="00B10771"/>
    <w:rsid w:val="00B1081D"/>
    <w:rsid w:val="00B10B2F"/>
    <w:rsid w:val="00B10E12"/>
    <w:rsid w:val="00B10E36"/>
    <w:rsid w:val="00B10E7E"/>
    <w:rsid w:val="00B11910"/>
    <w:rsid w:val="00B11CD7"/>
    <w:rsid w:val="00B1211A"/>
    <w:rsid w:val="00B1228E"/>
    <w:rsid w:val="00B12559"/>
    <w:rsid w:val="00B12848"/>
    <w:rsid w:val="00B12BD5"/>
    <w:rsid w:val="00B12C3D"/>
    <w:rsid w:val="00B12FD7"/>
    <w:rsid w:val="00B13385"/>
    <w:rsid w:val="00B133BE"/>
    <w:rsid w:val="00B13561"/>
    <w:rsid w:val="00B1360D"/>
    <w:rsid w:val="00B13690"/>
    <w:rsid w:val="00B13862"/>
    <w:rsid w:val="00B13F69"/>
    <w:rsid w:val="00B14067"/>
    <w:rsid w:val="00B144E9"/>
    <w:rsid w:val="00B1461B"/>
    <w:rsid w:val="00B149ED"/>
    <w:rsid w:val="00B14B9F"/>
    <w:rsid w:val="00B14C13"/>
    <w:rsid w:val="00B14F4E"/>
    <w:rsid w:val="00B154CF"/>
    <w:rsid w:val="00B15634"/>
    <w:rsid w:val="00B1577A"/>
    <w:rsid w:val="00B15C21"/>
    <w:rsid w:val="00B15CFE"/>
    <w:rsid w:val="00B15DBF"/>
    <w:rsid w:val="00B15F51"/>
    <w:rsid w:val="00B163D5"/>
    <w:rsid w:val="00B16AD5"/>
    <w:rsid w:val="00B16AE9"/>
    <w:rsid w:val="00B16BF3"/>
    <w:rsid w:val="00B16D93"/>
    <w:rsid w:val="00B17273"/>
    <w:rsid w:val="00B20092"/>
    <w:rsid w:val="00B200F2"/>
    <w:rsid w:val="00B20134"/>
    <w:rsid w:val="00B20339"/>
    <w:rsid w:val="00B20B84"/>
    <w:rsid w:val="00B21047"/>
    <w:rsid w:val="00B215C6"/>
    <w:rsid w:val="00B21695"/>
    <w:rsid w:val="00B21FA0"/>
    <w:rsid w:val="00B227CD"/>
    <w:rsid w:val="00B227E2"/>
    <w:rsid w:val="00B22A24"/>
    <w:rsid w:val="00B22AF1"/>
    <w:rsid w:val="00B23051"/>
    <w:rsid w:val="00B236AD"/>
    <w:rsid w:val="00B23716"/>
    <w:rsid w:val="00B23954"/>
    <w:rsid w:val="00B239B6"/>
    <w:rsid w:val="00B23CE7"/>
    <w:rsid w:val="00B23F3C"/>
    <w:rsid w:val="00B23FF0"/>
    <w:rsid w:val="00B2450A"/>
    <w:rsid w:val="00B2488D"/>
    <w:rsid w:val="00B24979"/>
    <w:rsid w:val="00B24A4A"/>
    <w:rsid w:val="00B24B12"/>
    <w:rsid w:val="00B24B84"/>
    <w:rsid w:val="00B24CAC"/>
    <w:rsid w:val="00B25379"/>
    <w:rsid w:val="00B25741"/>
    <w:rsid w:val="00B25F84"/>
    <w:rsid w:val="00B25FF6"/>
    <w:rsid w:val="00B26552"/>
    <w:rsid w:val="00B269D1"/>
    <w:rsid w:val="00B26B25"/>
    <w:rsid w:val="00B27034"/>
    <w:rsid w:val="00B27155"/>
    <w:rsid w:val="00B273EC"/>
    <w:rsid w:val="00B275E3"/>
    <w:rsid w:val="00B30094"/>
    <w:rsid w:val="00B30102"/>
    <w:rsid w:val="00B31230"/>
    <w:rsid w:val="00B31D75"/>
    <w:rsid w:val="00B31E38"/>
    <w:rsid w:val="00B3224A"/>
    <w:rsid w:val="00B328FE"/>
    <w:rsid w:val="00B32987"/>
    <w:rsid w:val="00B329B5"/>
    <w:rsid w:val="00B32B7B"/>
    <w:rsid w:val="00B32CFC"/>
    <w:rsid w:val="00B32D36"/>
    <w:rsid w:val="00B332EE"/>
    <w:rsid w:val="00B33353"/>
    <w:rsid w:val="00B3388A"/>
    <w:rsid w:val="00B33D2B"/>
    <w:rsid w:val="00B33F15"/>
    <w:rsid w:val="00B342A4"/>
    <w:rsid w:val="00B3433F"/>
    <w:rsid w:val="00B349A1"/>
    <w:rsid w:val="00B34ADE"/>
    <w:rsid w:val="00B34BCD"/>
    <w:rsid w:val="00B34ECD"/>
    <w:rsid w:val="00B35225"/>
    <w:rsid w:val="00B3537D"/>
    <w:rsid w:val="00B35523"/>
    <w:rsid w:val="00B35674"/>
    <w:rsid w:val="00B358C7"/>
    <w:rsid w:val="00B35917"/>
    <w:rsid w:val="00B35BA6"/>
    <w:rsid w:val="00B35CC2"/>
    <w:rsid w:val="00B36087"/>
    <w:rsid w:val="00B361F1"/>
    <w:rsid w:val="00B363A2"/>
    <w:rsid w:val="00B3681E"/>
    <w:rsid w:val="00B36BD7"/>
    <w:rsid w:val="00B36E4A"/>
    <w:rsid w:val="00B36E96"/>
    <w:rsid w:val="00B372C4"/>
    <w:rsid w:val="00B375D0"/>
    <w:rsid w:val="00B37637"/>
    <w:rsid w:val="00B3778D"/>
    <w:rsid w:val="00B377A5"/>
    <w:rsid w:val="00B377D4"/>
    <w:rsid w:val="00B37E59"/>
    <w:rsid w:val="00B37FFB"/>
    <w:rsid w:val="00B4003B"/>
    <w:rsid w:val="00B408C0"/>
    <w:rsid w:val="00B408FA"/>
    <w:rsid w:val="00B409C9"/>
    <w:rsid w:val="00B40CA6"/>
    <w:rsid w:val="00B40D20"/>
    <w:rsid w:val="00B411FF"/>
    <w:rsid w:val="00B41506"/>
    <w:rsid w:val="00B418FC"/>
    <w:rsid w:val="00B41969"/>
    <w:rsid w:val="00B41A8D"/>
    <w:rsid w:val="00B42368"/>
    <w:rsid w:val="00B424BE"/>
    <w:rsid w:val="00B424FC"/>
    <w:rsid w:val="00B425E0"/>
    <w:rsid w:val="00B42C30"/>
    <w:rsid w:val="00B43038"/>
    <w:rsid w:val="00B432DC"/>
    <w:rsid w:val="00B434D6"/>
    <w:rsid w:val="00B435AC"/>
    <w:rsid w:val="00B43700"/>
    <w:rsid w:val="00B438F3"/>
    <w:rsid w:val="00B43CA8"/>
    <w:rsid w:val="00B43F1D"/>
    <w:rsid w:val="00B442DA"/>
    <w:rsid w:val="00B4480D"/>
    <w:rsid w:val="00B44A8F"/>
    <w:rsid w:val="00B44B74"/>
    <w:rsid w:val="00B44CAD"/>
    <w:rsid w:val="00B44DBD"/>
    <w:rsid w:val="00B44EDC"/>
    <w:rsid w:val="00B45540"/>
    <w:rsid w:val="00B4599C"/>
    <w:rsid w:val="00B459D9"/>
    <w:rsid w:val="00B45B70"/>
    <w:rsid w:val="00B45D72"/>
    <w:rsid w:val="00B45E81"/>
    <w:rsid w:val="00B46435"/>
    <w:rsid w:val="00B46504"/>
    <w:rsid w:val="00B465EA"/>
    <w:rsid w:val="00B46610"/>
    <w:rsid w:val="00B46780"/>
    <w:rsid w:val="00B468BC"/>
    <w:rsid w:val="00B47011"/>
    <w:rsid w:val="00B47240"/>
    <w:rsid w:val="00B474EE"/>
    <w:rsid w:val="00B477AC"/>
    <w:rsid w:val="00B47AB7"/>
    <w:rsid w:val="00B47AE7"/>
    <w:rsid w:val="00B50384"/>
    <w:rsid w:val="00B50BD2"/>
    <w:rsid w:val="00B50F76"/>
    <w:rsid w:val="00B51055"/>
    <w:rsid w:val="00B51245"/>
    <w:rsid w:val="00B515BB"/>
    <w:rsid w:val="00B515E8"/>
    <w:rsid w:val="00B520F1"/>
    <w:rsid w:val="00B525A0"/>
    <w:rsid w:val="00B52AEB"/>
    <w:rsid w:val="00B52B10"/>
    <w:rsid w:val="00B53081"/>
    <w:rsid w:val="00B539BC"/>
    <w:rsid w:val="00B53A50"/>
    <w:rsid w:val="00B53C6F"/>
    <w:rsid w:val="00B54010"/>
    <w:rsid w:val="00B5410B"/>
    <w:rsid w:val="00B54179"/>
    <w:rsid w:val="00B541F9"/>
    <w:rsid w:val="00B543EB"/>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635"/>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D30"/>
    <w:rsid w:val="00B65E0B"/>
    <w:rsid w:val="00B66383"/>
    <w:rsid w:val="00B6638E"/>
    <w:rsid w:val="00B66B20"/>
    <w:rsid w:val="00B671FC"/>
    <w:rsid w:val="00B67686"/>
    <w:rsid w:val="00B67C67"/>
    <w:rsid w:val="00B67EE4"/>
    <w:rsid w:val="00B67F45"/>
    <w:rsid w:val="00B70055"/>
    <w:rsid w:val="00B700FE"/>
    <w:rsid w:val="00B7019D"/>
    <w:rsid w:val="00B703D9"/>
    <w:rsid w:val="00B70482"/>
    <w:rsid w:val="00B70546"/>
    <w:rsid w:val="00B7056A"/>
    <w:rsid w:val="00B708CC"/>
    <w:rsid w:val="00B70A08"/>
    <w:rsid w:val="00B70A82"/>
    <w:rsid w:val="00B70AE5"/>
    <w:rsid w:val="00B70CD4"/>
    <w:rsid w:val="00B70EBE"/>
    <w:rsid w:val="00B71407"/>
    <w:rsid w:val="00B71682"/>
    <w:rsid w:val="00B716A4"/>
    <w:rsid w:val="00B71786"/>
    <w:rsid w:val="00B7182E"/>
    <w:rsid w:val="00B71860"/>
    <w:rsid w:val="00B7191F"/>
    <w:rsid w:val="00B719B5"/>
    <w:rsid w:val="00B71CE7"/>
    <w:rsid w:val="00B71D73"/>
    <w:rsid w:val="00B721DE"/>
    <w:rsid w:val="00B72244"/>
    <w:rsid w:val="00B727AB"/>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2B3"/>
    <w:rsid w:val="00B767D3"/>
    <w:rsid w:val="00B76AAF"/>
    <w:rsid w:val="00B770B8"/>
    <w:rsid w:val="00B7722A"/>
    <w:rsid w:val="00B775FF"/>
    <w:rsid w:val="00B77726"/>
    <w:rsid w:val="00B77898"/>
    <w:rsid w:val="00B77CAA"/>
    <w:rsid w:val="00B77D16"/>
    <w:rsid w:val="00B77E34"/>
    <w:rsid w:val="00B80124"/>
    <w:rsid w:val="00B80876"/>
    <w:rsid w:val="00B8087D"/>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302F"/>
    <w:rsid w:val="00B83049"/>
    <w:rsid w:val="00B834A9"/>
    <w:rsid w:val="00B8355A"/>
    <w:rsid w:val="00B83A22"/>
    <w:rsid w:val="00B84012"/>
    <w:rsid w:val="00B84447"/>
    <w:rsid w:val="00B8448F"/>
    <w:rsid w:val="00B845D1"/>
    <w:rsid w:val="00B851EA"/>
    <w:rsid w:val="00B8568E"/>
    <w:rsid w:val="00B857E8"/>
    <w:rsid w:val="00B8599C"/>
    <w:rsid w:val="00B85AEA"/>
    <w:rsid w:val="00B8623C"/>
    <w:rsid w:val="00B86644"/>
    <w:rsid w:val="00B86C01"/>
    <w:rsid w:val="00B86D7B"/>
    <w:rsid w:val="00B87387"/>
    <w:rsid w:val="00B876EB"/>
    <w:rsid w:val="00B87B90"/>
    <w:rsid w:val="00B87C2C"/>
    <w:rsid w:val="00B87E36"/>
    <w:rsid w:val="00B87E6A"/>
    <w:rsid w:val="00B87FA0"/>
    <w:rsid w:val="00B901EC"/>
    <w:rsid w:val="00B9030B"/>
    <w:rsid w:val="00B9035E"/>
    <w:rsid w:val="00B903D2"/>
    <w:rsid w:val="00B9070E"/>
    <w:rsid w:val="00B90837"/>
    <w:rsid w:val="00B90925"/>
    <w:rsid w:val="00B9092E"/>
    <w:rsid w:val="00B913BD"/>
    <w:rsid w:val="00B91948"/>
    <w:rsid w:val="00B91AF4"/>
    <w:rsid w:val="00B91C4D"/>
    <w:rsid w:val="00B91F02"/>
    <w:rsid w:val="00B91F9E"/>
    <w:rsid w:val="00B92892"/>
    <w:rsid w:val="00B928A9"/>
    <w:rsid w:val="00B928D4"/>
    <w:rsid w:val="00B92908"/>
    <w:rsid w:val="00B92BDA"/>
    <w:rsid w:val="00B92D6B"/>
    <w:rsid w:val="00B92EB5"/>
    <w:rsid w:val="00B9337D"/>
    <w:rsid w:val="00B93A24"/>
    <w:rsid w:val="00B9472B"/>
    <w:rsid w:val="00B9473E"/>
    <w:rsid w:val="00B94902"/>
    <w:rsid w:val="00B94994"/>
    <w:rsid w:val="00B95013"/>
    <w:rsid w:val="00B9575E"/>
    <w:rsid w:val="00B95C84"/>
    <w:rsid w:val="00B9629D"/>
    <w:rsid w:val="00B962B3"/>
    <w:rsid w:val="00B96911"/>
    <w:rsid w:val="00B969B2"/>
    <w:rsid w:val="00B976E7"/>
    <w:rsid w:val="00B97AF4"/>
    <w:rsid w:val="00B9AA5F"/>
    <w:rsid w:val="00BA02AC"/>
    <w:rsid w:val="00BA0388"/>
    <w:rsid w:val="00BA03F7"/>
    <w:rsid w:val="00BA0436"/>
    <w:rsid w:val="00BA0466"/>
    <w:rsid w:val="00BA08B1"/>
    <w:rsid w:val="00BA08D4"/>
    <w:rsid w:val="00BA0B41"/>
    <w:rsid w:val="00BA0BCD"/>
    <w:rsid w:val="00BA0CAC"/>
    <w:rsid w:val="00BA1126"/>
    <w:rsid w:val="00BA1254"/>
    <w:rsid w:val="00BA1595"/>
    <w:rsid w:val="00BA15E3"/>
    <w:rsid w:val="00BA22E0"/>
    <w:rsid w:val="00BA27D7"/>
    <w:rsid w:val="00BA2D4B"/>
    <w:rsid w:val="00BA2FBF"/>
    <w:rsid w:val="00BA309F"/>
    <w:rsid w:val="00BA3685"/>
    <w:rsid w:val="00BA387D"/>
    <w:rsid w:val="00BA3A11"/>
    <w:rsid w:val="00BA3F68"/>
    <w:rsid w:val="00BA42C1"/>
    <w:rsid w:val="00BA46EB"/>
    <w:rsid w:val="00BA4800"/>
    <w:rsid w:val="00BA4835"/>
    <w:rsid w:val="00BA4966"/>
    <w:rsid w:val="00BA4A78"/>
    <w:rsid w:val="00BA4CC9"/>
    <w:rsid w:val="00BA5085"/>
    <w:rsid w:val="00BA50D3"/>
    <w:rsid w:val="00BA5381"/>
    <w:rsid w:val="00BA56D0"/>
    <w:rsid w:val="00BA5713"/>
    <w:rsid w:val="00BA5789"/>
    <w:rsid w:val="00BA5948"/>
    <w:rsid w:val="00BA5EB1"/>
    <w:rsid w:val="00BA6AC4"/>
    <w:rsid w:val="00BA6C0E"/>
    <w:rsid w:val="00BA74DC"/>
    <w:rsid w:val="00BA788B"/>
    <w:rsid w:val="00BA7928"/>
    <w:rsid w:val="00BA7A3B"/>
    <w:rsid w:val="00BA7B24"/>
    <w:rsid w:val="00BA7C20"/>
    <w:rsid w:val="00BA7D30"/>
    <w:rsid w:val="00BA7F78"/>
    <w:rsid w:val="00BB000A"/>
    <w:rsid w:val="00BB0633"/>
    <w:rsid w:val="00BB0911"/>
    <w:rsid w:val="00BB0D33"/>
    <w:rsid w:val="00BB0F43"/>
    <w:rsid w:val="00BB0F93"/>
    <w:rsid w:val="00BB1027"/>
    <w:rsid w:val="00BB10F3"/>
    <w:rsid w:val="00BB1709"/>
    <w:rsid w:val="00BB17F4"/>
    <w:rsid w:val="00BB1BA5"/>
    <w:rsid w:val="00BB209C"/>
    <w:rsid w:val="00BB20A3"/>
    <w:rsid w:val="00BB2325"/>
    <w:rsid w:val="00BB24C7"/>
    <w:rsid w:val="00BB270E"/>
    <w:rsid w:val="00BB2BE1"/>
    <w:rsid w:val="00BB35C5"/>
    <w:rsid w:val="00BB3677"/>
    <w:rsid w:val="00BB3919"/>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CCC"/>
    <w:rsid w:val="00BB6DA3"/>
    <w:rsid w:val="00BB6E6D"/>
    <w:rsid w:val="00BB70FA"/>
    <w:rsid w:val="00BB71CE"/>
    <w:rsid w:val="00BB75ED"/>
    <w:rsid w:val="00BB76DB"/>
    <w:rsid w:val="00BB7755"/>
    <w:rsid w:val="00BB7806"/>
    <w:rsid w:val="00BB7969"/>
    <w:rsid w:val="00BB7A3B"/>
    <w:rsid w:val="00BB7B7E"/>
    <w:rsid w:val="00BB7E3B"/>
    <w:rsid w:val="00BB7FE6"/>
    <w:rsid w:val="00BC0252"/>
    <w:rsid w:val="00BC0A18"/>
    <w:rsid w:val="00BC0BA8"/>
    <w:rsid w:val="00BC0D93"/>
    <w:rsid w:val="00BC0E8A"/>
    <w:rsid w:val="00BC1426"/>
    <w:rsid w:val="00BC19D1"/>
    <w:rsid w:val="00BC1B7B"/>
    <w:rsid w:val="00BC1D21"/>
    <w:rsid w:val="00BC20B7"/>
    <w:rsid w:val="00BC2A93"/>
    <w:rsid w:val="00BC2B01"/>
    <w:rsid w:val="00BC2B19"/>
    <w:rsid w:val="00BC3318"/>
    <w:rsid w:val="00BC3324"/>
    <w:rsid w:val="00BC39AB"/>
    <w:rsid w:val="00BC3DE3"/>
    <w:rsid w:val="00BC3E10"/>
    <w:rsid w:val="00BC3F3F"/>
    <w:rsid w:val="00BC43F8"/>
    <w:rsid w:val="00BC447F"/>
    <w:rsid w:val="00BC46F6"/>
    <w:rsid w:val="00BC49C7"/>
    <w:rsid w:val="00BC4D8C"/>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569"/>
    <w:rsid w:val="00BD2A93"/>
    <w:rsid w:val="00BD2D36"/>
    <w:rsid w:val="00BD2E61"/>
    <w:rsid w:val="00BD2EEE"/>
    <w:rsid w:val="00BD3067"/>
    <w:rsid w:val="00BD356D"/>
    <w:rsid w:val="00BD3676"/>
    <w:rsid w:val="00BD3B07"/>
    <w:rsid w:val="00BD4012"/>
    <w:rsid w:val="00BD4299"/>
    <w:rsid w:val="00BD49EC"/>
    <w:rsid w:val="00BD4A49"/>
    <w:rsid w:val="00BD4F45"/>
    <w:rsid w:val="00BD5058"/>
    <w:rsid w:val="00BD5135"/>
    <w:rsid w:val="00BD5276"/>
    <w:rsid w:val="00BD5280"/>
    <w:rsid w:val="00BD53F8"/>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199"/>
    <w:rsid w:val="00BE1763"/>
    <w:rsid w:val="00BE1AB9"/>
    <w:rsid w:val="00BE20C6"/>
    <w:rsid w:val="00BE240A"/>
    <w:rsid w:val="00BE242F"/>
    <w:rsid w:val="00BE2B02"/>
    <w:rsid w:val="00BE2B17"/>
    <w:rsid w:val="00BE2CF4"/>
    <w:rsid w:val="00BE2E71"/>
    <w:rsid w:val="00BE331F"/>
    <w:rsid w:val="00BE397A"/>
    <w:rsid w:val="00BE3998"/>
    <w:rsid w:val="00BE3AB9"/>
    <w:rsid w:val="00BE3BC1"/>
    <w:rsid w:val="00BE445E"/>
    <w:rsid w:val="00BE46FB"/>
    <w:rsid w:val="00BE4776"/>
    <w:rsid w:val="00BE491F"/>
    <w:rsid w:val="00BE4A6D"/>
    <w:rsid w:val="00BE549E"/>
    <w:rsid w:val="00BE56CF"/>
    <w:rsid w:val="00BE57E4"/>
    <w:rsid w:val="00BE5B80"/>
    <w:rsid w:val="00BE5B84"/>
    <w:rsid w:val="00BE60AF"/>
    <w:rsid w:val="00BE6461"/>
    <w:rsid w:val="00BE6BE6"/>
    <w:rsid w:val="00BE72A5"/>
    <w:rsid w:val="00BE7E49"/>
    <w:rsid w:val="00BF00F9"/>
    <w:rsid w:val="00BF02BF"/>
    <w:rsid w:val="00BF04D8"/>
    <w:rsid w:val="00BF0738"/>
    <w:rsid w:val="00BF0CAC"/>
    <w:rsid w:val="00BF0F9E"/>
    <w:rsid w:val="00BF12CD"/>
    <w:rsid w:val="00BF1597"/>
    <w:rsid w:val="00BF15C7"/>
    <w:rsid w:val="00BF290B"/>
    <w:rsid w:val="00BF29DD"/>
    <w:rsid w:val="00BF2A69"/>
    <w:rsid w:val="00BF2F92"/>
    <w:rsid w:val="00BF3227"/>
    <w:rsid w:val="00BF35D5"/>
    <w:rsid w:val="00BF389E"/>
    <w:rsid w:val="00BF3910"/>
    <w:rsid w:val="00BF3A95"/>
    <w:rsid w:val="00BF3C0C"/>
    <w:rsid w:val="00BF3ED4"/>
    <w:rsid w:val="00BF3F97"/>
    <w:rsid w:val="00BF4032"/>
    <w:rsid w:val="00BF4243"/>
    <w:rsid w:val="00BF448D"/>
    <w:rsid w:val="00BF44EE"/>
    <w:rsid w:val="00BF4BA2"/>
    <w:rsid w:val="00BF4C42"/>
    <w:rsid w:val="00BF4CE9"/>
    <w:rsid w:val="00BF4DE1"/>
    <w:rsid w:val="00BF50E9"/>
    <w:rsid w:val="00BF512A"/>
    <w:rsid w:val="00BF5A5C"/>
    <w:rsid w:val="00BF5BB3"/>
    <w:rsid w:val="00BF5DAF"/>
    <w:rsid w:val="00BF5FF5"/>
    <w:rsid w:val="00BF615F"/>
    <w:rsid w:val="00BF61D0"/>
    <w:rsid w:val="00BF61DF"/>
    <w:rsid w:val="00BF62EB"/>
    <w:rsid w:val="00BF686D"/>
    <w:rsid w:val="00BF68F6"/>
    <w:rsid w:val="00BF70BD"/>
    <w:rsid w:val="00BF7130"/>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009"/>
    <w:rsid w:val="00C032D3"/>
    <w:rsid w:val="00C0338A"/>
    <w:rsid w:val="00C036ED"/>
    <w:rsid w:val="00C037D0"/>
    <w:rsid w:val="00C03A4D"/>
    <w:rsid w:val="00C0412D"/>
    <w:rsid w:val="00C04250"/>
    <w:rsid w:val="00C04674"/>
    <w:rsid w:val="00C04764"/>
    <w:rsid w:val="00C05091"/>
    <w:rsid w:val="00C0521E"/>
    <w:rsid w:val="00C052D4"/>
    <w:rsid w:val="00C052DD"/>
    <w:rsid w:val="00C055E7"/>
    <w:rsid w:val="00C05A96"/>
    <w:rsid w:val="00C05B28"/>
    <w:rsid w:val="00C05F9D"/>
    <w:rsid w:val="00C0638B"/>
    <w:rsid w:val="00C06C6F"/>
    <w:rsid w:val="00C07107"/>
    <w:rsid w:val="00C0784C"/>
    <w:rsid w:val="00C07C3D"/>
    <w:rsid w:val="00C10598"/>
    <w:rsid w:val="00C10608"/>
    <w:rsid w:val="00C107DD"/>
    <w:rsid w:val="00C10D5A"/>
    <w:rsid w:val="00C10DF1"/>
    <w:rsid w:val="00C10FF4"/>
    <w:rsid w:val="00C119D3"/>
    <w:rsid w:val="00C11A4A"/>
    <w:rsid w:val="00C11D88"/>
    <w:rsid w:val="00C11ED6"/>
    <w:rsid w:val="00C12151"/>
    <w:rsid w:val="00C122E5"/>
    <w:rsid w:val="00C125B1"/>
    <w:rsid w:val="00C126FC"/>
    <w:rsid w:val="00C12B1D"/>
    <w:rsid w:val="00C13784"/>
    <w:rsid w:val="00C13ACF"/>
    <w:rsid w:val="00C1401F"/>
    <w:rsid w:val="00C142C1"/>
    <w:rsid w:val="00C14404"/>
    <w:rsid w:val="00C14663"/>
    <w:rsid w:val="00C14EE4"/>
    <w:rsid w:val="00C14FA8"/>
    <w:rsid w:val="00C14FAA"/>
    <w:rsid w:val="00C15147"/>
    <w:rsid w:val="00C1568F"/>
    <w:rsid w:val="00C157DE"/>
    <w:rsid w:val="00C15F31"/>
    <w:rsid w:val="00C1617D"/>
    <w:rsid w:val="00C162E9"/>
    <w:rsid w:val="00C1650A"/>
    <w:rsid w:val="00C16729"/>
    <w:rsid w:val="00C16A47"/>
    <w:rsid w:val="00C16C56"/>
    <w:rsid w:val="00C16F33"/>
    <w:rsid w:val="00C16FB8"/>
    <w:rsid w:val="00C17246"/>
    <w:rsid w:val="00C1733A"/>
    <w:rsid w:val="00C17402"/>
    <w:rsid w:val="00C17A42"/>
    <w:rsid w:val="00C200EA"/>
    <w:rsid w:val="00C20121"/>
    <w:rsid w:val="00C20137"/>
    <w:rsid w:val="00C2034D"/>
    <w:rsid w:val="00C20466"/>
    <w:rsid w:val="00C20C13"/>
    <w:rsid w:val="00C20CF8"/>
    <w:rsid w:val="00C211EE"/>
    <w:rsid w:val="00C21711"/>
    <w:rsid w:val="00C21B53"/>
    <w:rsid w:val="00C21E5B"/>
    <w:rsid w:val="00C21F46"/>
    <w:rsid w:val="00C22168"/>
    <w:rsid w:val="00C2251A"/>
    <w:rsid w:val="00C22915"/>
    <w:rsid w:val="00C22CBF"/>
    <w:rsid w:val="00C23020"/>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36F"/>
    <w:rsid w:val="00C26494"/>
    <w:rsid w:val="00C26959"/>
    <w:rsid w:val="00C26C6C"/>
    <w:rsid w:val="00C26E1C"/>
    <w:rsid w:val="00C26F6E"/>
    <w:rsid w:val="00C2743A"/>
    <w:rsid w:val="00C2772E"/>
    <w:rsid w:val="00C27936"/>
    <w:rsid w:val="00C27AD6"/>
    <w:rsid w:val="00C27D6D"/>
    <w:rsid w:val="00C27D97"/>
    <w:rsid w:val="00C300E2"/>
    <w:rsid w:val="00C303E2"/>
    <w:rsid w:val="00C306B6"/>
    <w:rsid w:val="00C309C0"/>
    <w:rsid w:val="00C30A58"/>
    <w:rsid w:val="00C30DA3"/>
    <w:rsid w:val="00C31510"/>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750"/>
    <w:rsid w:val="00C37869"/>
    <w:rsid w:val="00C402D7"/>
    <w:rsid w:val="00C4041A"/>
    <w:rsid w:val="00C405CC"/>
    <w:rsid w:val="00C40732"/>
    <w:rsid w:val="00C407EC"/>
    <w:rsid w:val="00C40B9A"/>
    <w:rsid w:val="00C40E9B"/>
    <w:rsid w:val="00C40FEC"/>
    <w:rsid w:val="00C4102D"/>
    <w:rsid w:val="00C4116C"/>
    <w:rsid w:val="00C4147F"/>
    <w:rsid w:val="00C4169B"/>
    <w:rsid w:val="00C41738"/>
    <w:rsid w:val="00C4183C"/>
    <w:rsid w:val="00C41AD2"/>
    <w:rsid w:val="00C41ADE"/>
    <w:rsid w:val="00C421D8"/>
    <w:rsid w:val="00C4229A"/>
    <w:rsid w:val="00C426CF"/>
    <w:rsid w:val="00C42C10"/>
    <w:rsid w:val="00C430CE"/>
    <w:rsid w:val="00C43F14"/>
    <w:rsid w:val="00C43FAE"/>
    <w:rsid w:val="00C43FB1"/>
    <w:rsid w:val="00C44062"/>
    <w:rsid w:val="00C44229"/>
    <w:rsid w:val="00C44242"/>
    <w:rsid w:val="00C4477F"/>
    <w:rsid w:val="00C44B7D"/>
    <w:rsid w:val="00C44F61"/>
    <w:rsid w:val="00C45016"/>
    <w:rsid w:val="00C45062"/>
    <w:rsid w:val="00C45452"/>
    <w:rsid w:val="00C454C9"/>
    <w:rsid w:val="00C45560"/>
    <w:rsid w:val="00C45B6D"/>
    <w:rsid w:val="00C45BAD"/>
    <w:rsid w:val="00C45BE3"/>
    <w:rsid w:val="00C45F10"/>
    <w:rsid w:val="00C45FF7"/>
    <w:rsid w:val="00C4621E"/>
    <w:rsid w:val="00C46648"/>
    <w:rsid w:val="00C466EF"/>
    <w:rsid w:val="00C467A8"/>
    <w:rsid w:val="00C46862"/>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552"/>
    <w:rsid w:val="00C538BA"/>
    <w:rsid w:val="00C53A7F"/>
    <w:rsid w:val="00C53C8F"/>
    <w:rsid w:val="00C54152"/>
    <w:rsid w:val="00C543F9"/>
    <w:rsid w:val="00C5467C"/>
    <w:rsid w:val="00C5497F"/>
    <w:rsid w:val="00C5498C"/>
    <w:rsid w:val="00C54C74"/>
    <w:rsid w:val="00C54D5F"/>
    <w:rsid w:val="00C54EF2"/>
    <w:rsid w:val="00C55331"/>
    <w:rsid w:val="00C5577C"/>
    <w:rsid w:val="00C557B8"/>
    <w:rsid w:val="00C558C8"/>
    <w:rsid w:val="00C55D79"/>
    <w:rsid w:val="00C560BC"/>
    <w:rsid w:val="00C56253"/>
    <w:rsid w:val="00C562AF"/>
    <w:rsid w:val="00C564F8"/>
    <w:rsid w:val="00C564FD"/>
    <w:rsid w:val="00C569E1"/>
    <w:rsid w:val="00C56F28"/>
    <w:rsid w:val="00C5715B"/>
    <w:rsid w:val="00C57407"/>
    <w:rsid w:val="00C57947"/>
    <w:rsid w:val="00C57D30"/>
    <w:rsid w:val="00C57DFB"/>
    <w:rsid w:val="00C6015C"/>
    <w:rsid w:val="00C604D2"/>
    <w:rsid w:val="00C608AF"/>
    <w:rsid w:val="00C60A9A"/>
    <w:rsid w:val="00C60DD0"/>
    <w:rsid w:val="00C60E6B"/>
    <w:rsid w:val="00C61043"/>
    <w:rsid w:val="00C610B5"/>
    <w:rsid w:val="00C61661"/>
    <w:rsid w:val="00C61C6A"/>
    <w:rsid w:val="00C61FB9"/>
    <w:rsid w:val="00C622C6"/>
    <w:rsid w:val="00C62448"/>
    <w:rsid w:val="00C62542"/>
    <w:rsid w:val="00C627ED"/>
    <w:rsid w:val="00C62C49"/>
    <w:rsid w:val="00C63095"/>
    <w:rsid w:val="00C630B6"/>
    <w:rsid w:val="00C63387"/>
    <w:rsid w:val="00C63792"/>
    <w:rsid w:val="00C63EE1"/>
    <w:rsid w:val="00C63EE9"/>
    <w:rsid w:val="00C642C2"/>
    <w:rsid w:val="00C6480C"/>
    <w:rsid w:val="00C64F7F"/>
    <w:rsid w:val="00C6536B"/>
    <w:rsid w:val="00C65532"/>
    <w:rsid w:val="00C6578B"/>
    <w:rsid w:val="00C658F7"/>
    <w:rsid w:val="00C65B45"/>
    <w:rsid w:val="00C65D93"/>
    <w:rsid w:val="00C663DA"/>
    <w:rsid w:val="00C66A0F"/>
    <w:rsid w:val="00C66F18"/>
    <w:rsid w:val="00C674B1"/>
    <w:rsid w:val="00C6771D"/>
    <w:rsid w:val="00C67F8E"/>
    <w:rsid w:val="00C70320"/>
    <w:rsid w:val="00C70452"/>
    <w:rsid w:val="00C70455"/>
    <w:rsid w:val="00C7056F"/>
    <w:rsid w:val="00C708FC"/>
    <w:rsid w:val="00C7135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CBE"/>
    <w:rsid w:val="00C750C6"/>
    <w:rsid w:val="00C754AB"/>
    <w:rsid w:val="00C759BA"/>
    <w:rsid w:val="00C75E24"/>
    <w:rsid w:val="00C76862"/>
    <w:rsid w:val="00C76913"/>
    <w:rsid w:val="00C76AD7"/>
    <w:rsid w:val="00C76BA1"/>
    <w:rsid w:val="00C76D5C"/>
    <w:rsid w:val="00C772C3"/>
    <w:rsid w:val="00C772D8"/>
    <w:rsid w:val="00C77650"/>
    <w:rsid w:val="00C777D2"/>
    <w:rsid w:val="00C77858"/>
    <w:rsid w:val="00C77BE0"/>
    <w:rsid w:val="00C77D60"/>
    <w:rsid w:val="00C77F6A"/>
    <w:rsid w:val="00C803BC"/>
    <w:rsid w:val="00C8060A"/>
    <w:rsid w:val="00C8063C"/>
    <w:rsid w:val="00C808CA"/>
    <w:rsid w:val="00C809F4"/>
    <w:rsid w:val="00C80A20"/>
    <w:rsid w:val="00C813A9"/>
    <w:rsid w:val="00C814B1"/>
    <w:rsid w:val="00C8158B"/>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650"/>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1C35"/>
    <w:rsid w:val="00C92278"/>
    <w:rsid w:val="00C924EF"/>
    <w:rsid w:val="00C92504"/>
    <w:rsid w:val="00C9294B"/>
    <w:rsid w:val="00C92A42"/>
    <w:rsid w:val="00C932B8"/>
    <w:rsid w:val="00C93380"/>
    <w:rsid w:val="00C9366E"/>
    <w:rsid w:val="00C9381A"/>
    <w:rsid w:val="00C93A4F"/>
    <w:rsid w:val="00C93A5E"/>
    <w:rsid w:val="00C93A71"/>
    <w:rsid w:val="00C93C03"/>
    <w:rsid w:val="00C941BC"/>
    <w:rsid w:val="00C94238"/>
    <w:rsid w:val="00C944E1"/>
    <w:rsid w:val="00C947E1"/>
    <w:rsid w:val="00C949D6"/>
    <w:rsid w:val="00C94D8D"/>
    <w:rsid w:val="00C95032"/>
    <w:rsid w:val="00C9511F"/>
    <w:rsid w:val="00C95343"/>
    <w:rsid w:val="00C953B9"/>
    <w:rsid w:val="00C958EC"/>
    <w:rsid w:val="00C95B12"/>
    <w:rsid w:val="00C95CA6"/>
    <w:rsid w:val="00C9601D"/>
    <w:rsid w:val="00C96180"/>
    <w:rsid w:val="00C961E8"/>
    <w:rsid w:val="00C968F8"/>
    <w:rsid w:val="00C96986"/>
    <w:rsid w:val="00C96991"/>
    <w:rsid w:val="00C96A28"/>
    <w:rsid w:val="00C96E61"/>
    <w:rsid w:val="00C96FAE"/>
    <w:rsid w:val="00C97008"/>
    <w:rsid w:val="00C976C5"/>
    <w:rsid w:val="00C97862"/>
    <w:rsid w:val="00C97D5D"/>
    <w:rsid w:val="00CA0163"/>
    <w:rsid w:val="00CA0907"/>
    <w:rsid w:val="00CA102B"/>
    <w:rsid w:val="00CA15E5"/>
    <w:rsid w:val="00CA1877"/>
    <w:rsid w:val="00CA19A4"/>
    <w:rsid w:val="00CA1AEE"/>
    <w:rsid w:val="00CA1BA8"/>
    <w:rsid w:val="00CA2151"/>
    <w:rsid w:val="00CA2449"/>
    <w:rsid w:val="00CA2634"/>
    <w:rsid w:val="00CA286C"/>
    <w:rsid w:val="00CA29A2"/>
    <w:rsid w:val="00CA2E2F"/>
    <w:rsid w:val="00CA3985"/>
    <w:rsid w:val="00CA41CF"/>
    <w:rsid w:val="00CA42DD"/>
    <w:rsid w:val="00CA4868"/>
    <w:rsid w:val="00CA5102"/>
    <w:rsid w:val="00CA52F3"/>
    <w:rsid w:val="00CA5692"/>
    <w:rsid w:val="00CA59A6"/>
    <w:rsid w:val="00CA5F7F"/>
    <w:rsid w:val="00CA601A"/>
    <w:rsid w:val="00CA6161"/>
    <w:rsid w:val="00CA687E"/>
    <w:rsid w:val="00CA689A"/>
    <w:rsid w:val="00CA6A9E"/>
    <w:rsid w:val="00CA6BC0"/>
    <w:rsid w:val="00CA6DB8"/>
    <w:rsid w:val="00CA71AA"/>
    <w:rsid w:val="00CA7295"/>
    <w:rsid w:val="00CB031D"/>
    <w:rsid w:val="00CB1136"/>
    <w:rsid w:val="00CB1361"/>
    <w:rsid w:val="00CB15BB"/>
    <w:rsid w:val="00CB17B6"/>
    <w:rsid w:val="00CB1A5D"/>
    <w:rsid w:val="00CB1AA3"/>
    <w:rsid w:val="00CB2D70"/>
    <w:rsid w:val="00CB2F3B"/>
    <w:rsid w:val="00CB3182"/>
    <w:rsid w:val="00CB358A"/>
    <w:rsid w:val="00CB3D93"/>
    <w:rsid w:val="00CB4301"/>
    <w:rsid w:val="00CB4678"/>
    <w:rsid w:val="00CB4D8F"/>
    <w:rsid w:val="00CB50B6"/>
    <w:rsid w:val="00CB5303"/>
    <w:rsid w:val="00CB552D"/>
    <w:rsid w:val="00CB5DF0"/>
    <w:rsid w:val="00CB5EDE"/>
    <w:rsid w:val="00CB68C1"/>
    <w:rsid w:val="00CB6C21"/>
    <w:rsid w:val="00CB7A03"/>
    <w:rsid w:val="00CB7AC3"/>
    <w:rsid w:val="00CB7C8C"/>
    <w:rsid w:val="00CB7CF6"/>
    <w:rsid w:val="00CBBF16"/>
    <w:rsid w:val="00CC00E0"/>
    <w:rsid w:val="00CC0176"/>
    <w:rsid w:val="00CC0256"/>
    <w:rsid w:val="00CC041C"/>
    <w:rsid w:val="00CC04BB"/>
    <w:rsid w:val="00CC0535"/>
    <w:rsid w:val="00CC06C0"/>
    <w:rsid w:val="00CC0913"/>
    <w:rsid w:val="00CC0B38"/>
    <w:rsid w:val="00CC0DCE"/>
    <w:rsid w:val="00CC0E50"/>
    <w:rsid w:val="00CC0E63"/>
    <w:rsid w:val="00CC1115"/>
    <w:rsid w:val="00CC1206"/>
    <w:rsid w:val="00CC133A"/>
    <w:rsid w:val="00CC1429"/>
    <w:rsid w:val="00CC1700"/>
    <w:rsid w:val="00CC17A9"/>
    <w:rsid w:val="00CC1903"/>
    <w:rsid w:val="00CC1A5B"/>
    <w:rsid w:val="00CC1D09"/>
    <w:rsid w:val="00CC1F65"/>
    <w:rsid w:val="00CC2520"/>
    <w:rsid w:val="00CC2740"/>
    <w:rsid w:val="00CC288A"/>
    <w:rsid w:val="00CC2AD0"/>
    <w:rsid w:val="00CC2B73"/>
    <w:rsid w:val="00CC2F68"/>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C7C23"/>
    <w:rsid w:val="00CD0130"/>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9D7"/>
    <w:rsid w:val="00CD3AD2"/>
    <w:rsid w:val="00CD43A6"/>
    <w:rsid w:val="00CD4B49"/>
    <w:rsid w:val="00CD4CEF"/>
    <w:rsid w:val="00CD4E18"/>
    <w:rsid w:val="00CD50C7"/>
    <w:rsid w:val="00CD526C"/>
    <w:rsid w:val="00CD548B"/>
    <w:rsid w:val="00CD5706"/>
    <w:rsid w:val="00CD5CAF"/>
    <w:rsid w:val="00CD5E9D"/>
    <w:rsid w:val="00CD5F4E"/>
    <w:rsid w:val="00CD6497"/>
    <w:rsid w:val="00CD65B3"/>
    <w:rsid w:val="00CD677E"/>
    <w:rsid w:val="00CD6819"/>
    <w:rsid w:val="00CD6C70"/>
    <w:rsid w:val="00CD6D31"/>
    <w:rsid w:val="00CD7A51"/>
    <w:rsid w:val="00CD7A8A"/>
    <w:rsid w:val="00CD7D7B"/>
    <w:rsid w:val="00CD7E2A"/>
    <w:rsid w:val="00CE04BB"/>
    <w:rsid w:val="00CE0786"/>
    <w:rsid w:val="00CE0937"/>
    <w:rsid w:val="00CE093B"/>
    <w:rsid w:val="00CE0A2F"/>
    <w:rsid w:val="00CE0C18"/>
    <w:rsid w:val="00CE0C20"/>
    <w:rsid w:val="00CE0DCA"/>
    <w:rsid w:val="00CE120E"/>
    <w:rsid w:val="00CE12A7"/>
    <w:rsid w:val="00CE13A2"/>
    <w:rsid w:val="00CE15CB"/>
    <w:rsid w:val="00CE1629"/>
    <w:rsid w:val="00CE1BD4"/>
    <w:rsid w:val="00CE1C16"/>
    <w:rsid w:val="00CE1F36"/>
    <w:rsid w:val="00CE239E"/>
    <w:rsid w:val="00CE24F6"/>
    <w:rsid w:val="00CE2680"/>
    <w:rsid w:val="00CE2780"/>
    <w:rsid w:val="00CE2949"/>
    <w:rsid w:val="00CE29E5"/>
    <w:rsid w:val="00CE2A65"/>
    <w:rsid w:val="00CE2B98"/>
    <w:rsid w:val="00CE2E44"/>
    <w:rsid w:val="00CE3525"/>
    <w:rsid w:val="00CE362D"/>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A6D"/>
    <w:rsid w:val="00CE6C68"/>
    <w:rsid w:val="00CE7032"/>
    <w:rsid w:val="00CE7681"/>
    <w:rsid w:val="00CE776B"/>
    <w:rsid w:val="00CE788B"/>
    <w:rsid w:val="00CE7F23"/>
    <w:rsid w:val="00CE7F3F"/>
    <w:rsid w:val="00CE7FA4"/>
    <w:rsid w:val="00CF0284"/>
    <w:rsid w:val="00CF0728"/>
    <w:rsid w:val="00CF0B70"/>
    <w:rsid w:val="00CF0C28"/>
    <w:rsid w:val="00CF101D"/>
    <w:rsid w:val="00CF1113"/>
    <w:rsid w:val="00CF1438"/>
    <w:rsid w:val="00CF159F"/>
    <w:rsid w:val="00CF1BD1"/>
    <w:rsid w:val="00CF1BF1"/>
    <w:rsid w:val="00CF1C7A"/>
    <w:rsid w:val="00CF2564"/>
    <w:rsid w:val="00CF2679"/>
    <w:rsid w:val="00CF27CF"/>
    <w:rsid w:val="00CF2AA8"/>
    <w:rsid w:val="00CF2B83"/>
    <w:rsid w:val="00CF338A"/>
    <w:rsid w:val="00CF3612"/>
    <w:rsid w:val="00CF362C"/>
    <w:rsid w:val="00CF36D6"/>
    <w:rsid w:val="00CF393F"/>
    <w:rsid w:val="00CF39BC"/>
    <w:rsid w:val="00CF3C4B"/>
    <w:rsid w:val="00CF3E22"/>
    <w:rsid w:val="00CF41A3"/>
    <w:rsid w:val="00CF41C3"/>
    <w:rsid w:val="00CF44A5"/>
    <w:rsid w:val="00CF44C0"/>
    <w:rsid w:val="00CF4C15"/>
    <w:rsid w:val="00CF4C1A"/>
    <w:rsid w:val="00CF4EE6"/>
    <w:rsid w:val="00CF4EEC"/>
    <w:rsid w:val="00CF525A"/>
    <w:rsid w:val="00CF571B"/>
    <w:rsid w:val="00CF644B"/>
    <w:rsid w:val="00CF6D7E"/>
    <w:rsid w:val="00CF74EF"/>
    <w:rsid w:val="00CF7536"/>
    <w:rsid w:val="00CF7656"/>
    <w:rsid w:val="00CF785C"/>
    <w:rsid w:val="00CF7A5E"/>
    <w:rsid w:val="00CF7DB4"/>
    <w:rsid w:val="00D002AD"/>
    <w:rsid w:val="00D00A03"/>
    <w:rsid w:val="00D00C6E"/>
    <w:rsid w:val="00D00E59"/>
    <w:rsid w:val="00D00F03"/>
    <w:rsid w:val="00D011BC"/>
    <w:rsid w:val="00D01555"/>
    <w:rsid w:val="00D01A72"/>
    <w:rsid w:val="00D01B39"/>
    <w:rsid w:val="00D01C56"/>
    <w:rsid w:val="00D01C6A"/>
    <w:rsid w:val="00D02212"/>
    <w:rsid w:val="00D0225C"/>
    <w:rsid w:val="00D02477"/>
    <w:rsid w:val="00D027ED"/>
    <w:rsid w:val="00D02D4A"/>
    <w:rsid w:val="00D02E7B"/>
    <w:rsid w:val="00D034C4"/>
    <w:rsid w:val="00D03549"/>
    <w:rsid w:val="00D0390F"/>
    <w:rsid w:val="00D039A6"/>
    <w:rsid w:val="00D03C6D"/>
    <w:rsid w:val="00D04167"/>
    <w:rsid w:val="00D0426A"/>
    <w:rsid w:val="00D042E6"/>
    <w:rsid w:val="00D0436A"/>
    <w:rsid w:val="00D046E1"/>
    <w:rsid w:val="00D047A0"/>
    <w:rsid w:val="00D04F0C"/>
    <w:rsid w:val="00D052AF"/>
    <w:rsid w:val="00D0591A"/>
    <w:rsid w:val="00D059B6"/>
    <w:rsid w:val="00D05B69"/>
    <w:rsid w:val="00D05B73"/>
    <w:rsid w:val="00D05C79"/>
    <w:rsid w:val="00D05FCF"/>
    <w:rsid w:val="00D0602B"/>
    <w:rsid w:val="00D0612B"/>
    <w:rsid w:val="00D061E3"/>
    <w:rsid w:val="00D06242"/>
    <w:rsid w:val="00D06299"/>
    <w:rsid w:val="00D062B7"/>
    <w:rsid w:val="00D062F5"/>
    <w:rsid w:val="00D0698F"/>
    <w:rsid w:val="00D06AEB"/>
    <w:rsid w:val="00D06DA5"/>
    <w:rsid w:val="00D06DB8"/>
    <w:rsid w:val="00D07118"/>
    <w:rsid w:val="00D07212"/>
    <w:rsid w:val="00D0796B"/>
    <w:rsid w:val="00D07C5B"/>
    <w:rsid w:val="00D07F3A"/>
    <w:rsid w:val="00D07FE9"/>
    <w:rsid w:val="00D102A6"/>
    <w:rsid w:val="00D102DC"/>
    <w:rsid w:val="00D10B55"/>
    <w:rsid w:val="00D11178"/>
    <w:rsid w:val="00D11530"/>
    <w:rsid w:val="00D116C0"/>
    <w:rsid w:val="00D1183F"/>
    <w:rsid w:val="00D11A7C"/>
    <w:rsid w:val="00D11CC2"/>
    <w:rsid w:val="00D1218F"/>
    <w:rsid w:val="00D125A6"/>
    <w:rsid w:val="00D125C1"/>
    <w:rsid w:val="00D125D2"/>
    <w:rsid w:val="00D125E1"/>
    <w:rsid w:val="00D1264E"/>
    <w:rsid w:val="00D13295"/>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5F4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8C"/>
    <w:rsid w:val="00D219F5"/>
    <w:rsid w:val="00D21B96"/>
    <w:rsid w:val="00D21D5E"/>
    <w:rsid w:val="00D226D7"/>
    <w:rsid w:val="00D22C45"/>
    <w:rsid w:val="00D236B6"/>
    <w:rsid w:val="00D23722"/>
    <w:rsid w:val="00D23904"/>
    <w:rsid w:val="00D23B17"/>
    <w:rsid w:val="00D23F13"/>
    <w:rsid w:val="00D23FD7"/>
    <w:rsid w:val="00D24119"/>
    <w:rsid w:val="00D2423B"/>
    <w:rsid w:val="00D24381"/>
    <w:rsid w:val="00D24551"/>
    <w:rsid w:val="00D2457E"/>
    <w:rsid w:val="00D24DFE"/>
    <w:rsid w:val="00D24FE9"/>
    <w:rsid w:val="00D25061"/>
    <w:rsid w:val="00D251FE"/>
    <w:rsid w:val="00D25524"/>
    <w:rsid w:val="00D25784"/>
    <w:rsid w:val="00D2585A"/>
    <w:rsid w:val="00D25C5C"/>
    <w:rsid w:val="00D25DF0"/>
    <w:rsid w:val="00D25EDD"/>
    <w:rsid w:val="00D25F0D"/>
    <w:rsid w:val="00D263B0"/>
    <w:rsid w:val="00D267E8"/>
    <w:rsid w:val="00D2686E"/>
    <w:rsid w:val="00D26A0C"/>
    <w:rsid w:val="00D26CBB"/>
    <w:rsid w:val="00D27217"/>
    <w:rsid w:val="00D2771A"/>
    <w:rsid w:val="00D27C06"/>
    <w:rsid w:val="00D30028"/>
    <w:rsid w:val="00D300C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4B6"/>
    <w:rsid w:val="00D32C45"/>
    <w:rsid w:val="00D32ED8"/>
    <w:rsid w:val="00D32FA4"/>
    <w:rsid w:val="00D3336F"/>
    <w:rsid w:val="00D33482"/>
    <w:rsid w:val="00D33584"/>
    <w:rsid w:val="00D335E2"/>
    <w:rsid w:val="00D336B8"/>
    <w:rsid w:val="00D3397E"/>
    <w:rsid w:val="00D33AF8"/>
    <w:rsid w:val="00D33E69"/>
    <w:rsid w:val="00D34700"/>
    <w:rsid w:val="00D348EF"/>
    <w:rsid w:val="00D34AEA"/>
    <w:rsid w:val="00D34F09"/>
    <w:rsid w:val="00D352D2"/>
    <w:rsid w:val="00D35388"/>
    <w:rsid w:val="00D35570"/>
    <w:rsid w:val="00D35AC3"/>
    <w:rsid w:val="00D360B4"/>
    <w:rsid w:val="00D3623A"/>
    <w:rsid w:val="00D362AD"/>
    <w:rsid w:val="00D364DF"/>
    <w:rsid w:val="00D365D5"/>
    <w:rsid w:val="00D36991"/>
    <w:rsid w:val="00D36EDE"/>
    <w:rsid w:val="00D375F1"/>
    <w:rsid w:val="00D37D95"/>
    <w:rsid w:val="00D400D0"/>
    <w:rsid w:val="00D407E1"/>
    <w:rsid w:val="00D40ACD"/>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CB1"/>
    <w:rsid w:val="00D43D53"/>
    <w:rsid w:val="00D43EC9"/>
    <w:rsid w:val="00D44224"/>
    <w:rsid w:val="00D4441F"/>
    <w:rsid w:val="00D45258"/>
    <w:rsid w:val="00D45279"/>
    <w:rsid w:val="00D4589C"/>
    <w:rsid w:val="00D45D5B"/>
    <w:rsid w:val="00D45DE7"/>
    <w:rsid w:val="00D460EA"/>
    <w:rsid w:val="00D462F1"/>
    <w:rsid w:val="00D464AB"/>
    <w:rsid w:val="00D4656C"/>
    <w:rsid w:val="00D46F71"/>
    <w:rsid w:val="00D4716B"/>
    <w:rsid w:val="00D4738F"/>
    <w:rsid w:val="00D47A76"/>
    <w:rsid w:val="00D47C9A"/>
    <w:rsid w:val="00D502C8"/>
    <w:rsid w:val="00D508F7"/>
    <w:rsid w:val="00D50E12"/>
    <w:rsid w:val="00D50FE7"/>
    <w:rsid w:val="00D512A2"/>
    <w:rsid w:val="00D515BD"/>
    <w:rsid w:val="00D518B1"/>
    <w:rsid w:val="00D518DD"/>
    <w:rsid w:val="00D518FE"/>
    <w:rsid w:val="00D51A4E"/>
    <w:rsid w:val="00D51F45"/>
    <w:rsid w:val="00D522D3"/>
    <w:rsid w:val="00D5260B"/>
    <w:rsid w:val="00D52F0F"/>
    <w:rsid w:val="00D5323E"/>
    <w:rsid w:val="00D532AF"/>
    <w:rsid w:val="00D539FD"/>
    <w:rsid w:val="00D53E5C"/>
    <w:rsid w:val="00D540D3"/>
    <w:rsid w:val="00D54F26"/>
    <w:rsid w:val="00D54F97"/>
    <w:rsid w:val="00D5517B"/>
    <w:rsid w:val="00D55273"/>
    <w:rsid w:val="00D5532D"/>
    <w:rsid w:val="00D55628"/>
    <w:rsid w:val="00D55866"/>
    <w:rsid w:val="00D5612E"/>
    <w:rsid w:val="00D561A5"/>
    <w:rsid w:val="00D563EE"/>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CD9"/>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1DD"/>
    <w:rsid w:val="00D65308"/>
    <w:rsid w:val="00D659DD"/>
    <w:rsid w:val="00D65C9D"/>
    <w:rsid w:val="00D65CBB"/>
    <w:rsid w:val="00D65E18"/>
    <w:rsid w:val="00D65E31"/>
    <w:rsid w:val="00D65FB1"/>
    <w:rsid w:val="00D662EA"/>
    <w:rsid w:val="00D66396"/>
    <w:rsid w:val="00D669BA"/>
    <w:rsid w:val="00D66A1A"/>
    <w:rsid w:val="00D66D81"/>
    <w:rsid w:val="00D66F9B"/>
    <w:rsid w:val="00D671F6"/>
    <w:rsid w:val="00D673B5"/>
    <w:rsid w:val="00D676D7"/>
    <w:rsid w:val="00D6781E"/>
    <w:rsid w:val="00D678DE"/>
    <w:rsid w:val="00D67D8E"/>
    <w:rsid w:val="00D67E5F"/>
    <w:rsid w:val="00D67EF2"/>
    <w:rsid w:val="00D70293"/>
    <w:rsid w:val="00D7034C"/>
    <w:rsid w:val="00D70394"/>
    <w:rsid w:val="00D706BE"/>
    <w:rsid w:val="00D7097A"/>
    <w:rsid w:val="00D70CB4"/>
    <w:rsid w:val="00D711F0"/>
    <w:rsid w:val="00D7159C"/>
    <w:rsid w:val="00D715F4"/>
    <w:rsid w:val="00D71622"/>
    <w:rsid w:val="00D718E8"/>
    <w:rsid w:val="00D719B6"/>
    <w:rsid w:val="00D71F99"/>
    <w:rsid w:val="00D72339"/>
    <w:rsid w:val="00D7236B"/>
    <w:rsid w:val="00D725DA"/>
    <w:rsid w:val="00D72601"/>
    <w:rsid w:val="00D728AD"/>
    <w:rsid w:val="00D729EF"/>
    <w:rsid w:val="00D72D44"/>
    <w:rsid w:val="00D72F0D"/>
    <w:rsid w:val="00D730CB"/>
    <w:rsid w:val="00D73807"/>
    <w:rsid w:val="00D73AA6"/>
    <w:rsid w:val="00D73B7B"/>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495"/>
    <w:rsid w:val="00D8064D"/>
    <w:rsid w:val="00D80668"/>
    <w:rsid w:val="00D80C08"/>
    <w:rsid w:val="00D80DD9"/>
    <w:rsid w:val="00D80EDA"/>
    <w:rsid w:val="00D8124A"/>
    <w:rsid w:val="00D817AC"/>
    <w:rsid w:val="00D81B9C"/>
    <w:rsid w:val="00D81DFA"/>
    <w:rsid w:val="00D81FA6"/>
    <w:rsid w:val="00D821AF"/>
    <w:rsid w:val="00D8230D"/>
    <w:rsid w:val="00D82402"/>
    <w:rsid w:val="00D826A8"/>
    <w:rsid w:val="00D827A1"/>
    <w:rsid w:val="00D827A6"/>
    <w:rsid w:val="00D8338A"/>
    <w:rsid w:val="00D83859"/>
    <w:rsid w:val="00D83905"/>
    <w:rsid w:val="00D83AD9"/>
    <w:rsid w:val="00D83E27"/>
    <w:rsid w:val="00D8431F"/>
    <w:rsid w:val="00D84520"/>
    <w:rsid w:val="00D845B1"/>
    <w:rsid w:val="00D84735"/>
    <w:rsid w:val="00D848A0"/>
    <w:rsid w:val="00D849D9"/>
    <w:rsid w:val="00D84BF6"/>
    <w:rsid w:val="00D84C2D"/>
    <w:rsid w:val="00D84E88"/>
    <w:rsid w:val="00D852EB"/>
    <w:rsid w:val="00D85334"/>
    <w:rsid w:val="00D856C1"/>
    <w:rsid w:val="00D8575D"/>
    <w:rsid w:val="00D857D4"/>
    <w:rsid w:val="00D85B42"/>
    <w:rsid w:val="00D85D54"/>
    <w:rsid w:val="00D85EF7"/>
    <w:rsid w:val="00D86060"/>
    <w:rsid w:val="00D862DF"/>
    <w:rsid w:val="00D862EC"/>
    <w:rsid w:val="00D865A9"/>
    <w:rsid w:val="00D86828"/>
    <w:rsid w:val="00D8697F"/>
    <w:rsid w:val="00D86A14"/>
    <w:rsid w:val="00D86B26"/>
    <w:rsid w:val="00D86D1E"/>
    <w:rsid w:val="00D87147"/>
    <w:rsid w:val="00D87168"/>
    <w:rsid w:val="00D875A3"/>
    <w:rsid w:val="00D875C6"/>
    <w:rsid w:val="00D87BB4"/>
    <w:rsid w:val="00D8CDF3"/>
    <w:rsid w:val="00D902F1"/>
    <w:rsid w:val="00D907B5"/>
    <w:rsid w:val="00D908BD"/>
    <w:rsid w:val="00D90920"/>
    <w:rsid w:val="00D90A07"/>
    <w:rsid w:val="00D9111A"/>
    <w:rsid w:val="00D9145C"/>
    <w:rsid w:val="00D91858"/>
    <w:rsid w:val="00D91C92"/>
    <w:rsid w:val="00D92143"/>
    <w:rsid w:val="00D922FC"/>
    <w:rsid w:val="00D925AC"/>
    <w:rsid w:val="00D92914"/>
    <w:rsid w:val="00D92FE0"/>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5C5D"/>
    <w:rsid w:val="00D963DB"/>
    <w:rsid w:val="00D96400"/>
    <w:rsid w:val="00D964F2"/>
    <w:rsid w:val="00D967E1"/>
    <w:rsid w:val="00D96E07"/>
    <w:rsid w:val="00D9725F"/>
    <w:rsid w:val="00D97301"/>
    <w:rsid w:val="00D97610"/>
    <w:rsid w:val="00D97841"/>
    <w:rsid w:val="00D97A07"/>
    <w:rsid w:val="00D97A9C"/>
    <w:rsid w:val="00D97CF5"/>
    <w:rsid w:val="00D97CFC"/>
    <w:rsid w:val="00DA03E9"/>
    <w:rsid w:val="00DA0B9B"/>
    <w:rsid w:val="00DA0C0B"/>
    <w:rsid w:val="00DA0F2B"/>
    <w:rsid w:val="00DA0F3C"/>
    <w:rsid w:val="00DA104D"/>
    <w:rsid w:val="00DA1487"/>
    <w:rsid w:val="00DA14C6"/>
    <w:rsid w:val="00DA167B"/>
    <w:rsid w:val="00DA19C3"/>
    <w:rsid w:val="00DA1D83"/>
    <w:rsid w:val="00DA1DE9"/>
    <w:rsid w:val="00DA1FC7"/>
    <w:rsid w:val="00DA221F"/>
    <w:rsid w:val="00DA22BD"/>
    <w:rsid w:val="00DA2525"/>
    <w:rsid w:val="00DA2B00"/>
    <w:rsid w:val="00DA2C5B"/>
    <w:rsid w:val="00DA345A"/>
    <w:rsid w:val="00DA37E9"/>
    <w:rsid w:val="00DA3C0D"/>
    <w:rsid w:val="00DA3D65"/>
    <w:rsid w:val="00DA3F93"/>
    <w:rsid w:val="00DA3FD7"/>
    <w:rsid w:val="00DA46B5"/>
    <w:rsid w:val="00DA4D28"/>
    <w:rsid w:val="00DA4FE7"/>
    <w:rsid w:val="00DA5483"/>
    <w:rsid w:val="00DA5542"/>
    <w:rsid w:val="00DA5715"/>
    <w:rsid w:val="00DA57B2"/>
    <w:rsid w:val="00DA5A9B"/>
    <w:rsid w:val="00DA5C60"/>
    <w:rsid w:val="00DA5E32"/>
    <w:rsid w:val="00DA5E95"/>
    <w:rsid w:val="00DA5F9B"/>
    <w:rsid w:val="00DA6312"/>
    <w:rsid w:val="00DA6392"/>
    <w:rsid w:val="00DA63A5"/>
    <w:rsid w:val="00DA6C28"/>
    <w:rsid w:val="00DA6DB3"/>
    <w:rsid w:val="00DA6EBE"/>
    <w:rsid w:val="00DA7198"/>
    <w:rsid w:val="00DA7443"/>
    <w:rsid w:val="00DA769F"/>
    <w:rsid w:val="00DA7F03"/>
    <w:rsid w:val="00DA7FCF"/>
    <w:rsid w:val="00DB03E1"/>
    <w:rsid w:val="00DB0859"/>
    <w:rsid w:val="00DB11D0"/>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A86"/>
    <w:rsid w:val="00DB4CB3"/>
    <w:rsid w:val="00DB4D08"/>
    <w:rsid w:val="00DB5007"/>
    <w:rsid w:val="00DB5316"/>
    <w:rsid w:val="00DB559B"/>
    <w:rsid w:val="00DB55D3"/>
    <w:rsid w:val="00DB56F5"/>
    <w:rsid w:val="00DB5B38"/>
    <w:rsid w:val="00DB5C4C"/>
    <w:rsid w:val="00DB6297"/>
    <w:rsid w:val="00DB65C9"/>
    <w:rsid w:val="00DB65DD"/>
    <w:rsid w:val="00DB6691"/>
    <w:rsid w:val="00DB7178"/>
    <w:rsid w:val="00DB75F4"/>
    <w:rsid w:val="00DC0356"/>
    <w:rsid w:val="00DC0564"/>
    <w:rsid w:val="00DC0C28"/>
    <w:rsid w:val="00DC0CA5"/>
    <w:rsid w:val="00DC0F9B"/>
    <w:rsid w:val="00DC0FB9"/>
    <w:rsid w:val="00DC1008"/>
    <w:rsid w:val="00DC138F"/>
    <w:rsid w:val="00DC155E"/>
    <w:rsid w:val="00DC15AC"/>
    <w:rsid w:val="00DC170D"/>
    <w:rsid w:val="00DC1DB7"/>
    <w:rsid w:val="00DC20B4"/>
    <w:rsid w:val="00DC22B2"/>
    <w:rsid w:val="00DC2309"/>
    <w:rsid w:val="00DC2868"/>
    <w:rsid w:val="00DC29E8"/>
    <w:rsid w:val="00DC2BD2"/>
    <w:rsid w:val="00DC33B0"/>
    <w:rsid w:val="00DC343B"/>
    <w:rsid w:val="00DC35F2"/>
    <w:rsid w:val="00DC3954"/>
    <w:rsid w:val="00DC3C07"/>
    <w:rsid w:val="00DC3E4B"/>
    <w:rsid w:val="00DC41F0"/>
    <w:rsid w:val="00DC421F"/>
    <w:rsid w:val="00DC4256"/>
    <w:rsid w:val="00DC43F4"/>
    <w:rsid w:val="00DC48BA"/>
    <w:rsid w:val="00DC49E8"/>
    <w:rsid w:val="00DC4ACB"/>
    <w:rsid w:val="00DC51C1"/>
    <w:rsid w:val="00DC521E"/>
    <w:rsid w:val="00DC52FD"/>
    <w:rsid w:val="00DC5580"/>
    <w:rsid w:val="00DC5F44"/>
    <w:rsid w:val="00DC61E7"/>
    <w:rsid w:val="00DC6272"/>
    <w:rsid w:val="00DC63D4"/>
    <w:rsid w:val="00DC6C52"/>
    <w:rsid w:val="00DC710E"/>
    <w:rsid w:val="00DC7270"/>
    <w:rsid w:val="00DC7357"/>
    <w:rsid w:val="00DC783D"/>
    <w:rsid w:val="00DC793C"/>
    <w:rsid w:val="00DC7AA1"/>
    <w:rsid w:val="00DC7D42"/>
    <w:rsid w:val="00DC7E32"/>
    <w:rsid w:val="00DC7F0B"/>
    <w:rsid w:val="00DC7F10"/>
    <w:rsid w:val="00DD0395"/>
    <w:rsid w:val="00DD03E0"/>
    <w:rsid w:val="00DD0ACA"/>
    <w:rsid w:val="00DD11CE"/>
    <w:rsid w:val="00DD13CC"/>
    <w:rsid w:val="00DD1510"/>
    <w:rsid w:val="00DD1782"/>
    <w:rsid w:val="00DD1D89"/>
    <w:rsid w:val="00DD1E57"/>
    <w:rsid w:val="00DD22EB"/>
    <w:rsid w:val="00DD238D"/>
    <w:rsid w:val="00DD25D9"/>
    <w:rsid w:val="00DD265A"/>
    <w:rsid w:val="00DD28FC"/>
    <w:rsid w:val="00DD2CA5"/>
    <w:rsid w:val="00DD303A"/>
    <w:rsid w:val="00DD34B3"/>
    <w:rsid w:val="00DD35CB"/>
    <w:rsid w:val="00DD387F"/>
    <w:rsid w:val="00DD3A24"/>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CFF"/>
    <w:rsid w:val="00DD6DCF"/>
    <w:rsid w:val="00DD6ECC"/>
    <w:rsid w:val="00DD7066"/>
    <w:rsid w:val="00DD714C"/>
    <w:rsid w:val="00DD77F2"/>
    <w:rsid w:val="00DD7A0F"/>
    <w:rsid w:val="00DD7B8C"/>
    <w:rsid w:val="00DD7C7B"/>
    <w:rsid w:val="00DD7FE8"/>
    <w:rsid w:val="00DE015C"/>
    <w:rsid w:val="00DE04AF"/>
    <w:rsid w:val="00DE0F2F"/>
    <w:rsid w:val="00DE12F9"/>
    <w:rsid w:val="00DE1AD6"/>
    <w:rsid w:val="00DE1C73"/>
    <w:rsid w:val="00DE21E3"/>
    <w:rsid w:val="00DE250C"/>
    <w:rsid w:val="00DE258E"/>
    <w:rsid w:val="00DE2608"/>
    <w:rsid w:val="00DE2950"/>
    <w:rsid w:val="00DE2A34"/>
    <w:rsid w:val="00DE2A69"/>
    <w:rsid w:val="00DE2E8B"/>
    <w:rsid w:val="00DE301F"/>
    <w:rsid w:val="00DE36CA"/>
    <w:rsid w:val="00DE37CE"/>
    <w:rsid w:val="00DE3980"/>
    <w:rsid w:val="00DE3CBB"/>
    <w:rsid w:val="00DE3D44"/>
    <w:rsid w:val="00DE3E92"/>
    <w:rsid w:val="00DE3EBE"/>
    <w:rsid w:val="00DE3FD9"/>
    <w:rsid w:val="00DE429B"/>
    <w:rsid w:val="00DE43DF"/>
    <w:rsid w:val="00DE4566"/>
    <w:rsid w:val="00DE481D"/>
    <w:rsid w:val="00DE4EAF"/>
    <w:rsid w:val="00DE4F13"/>
    <w:rsid w:val="00DE5192"/>
    <w:rsid w:val="00DE5234"/>
    <w:rsid w:val="00DE55D8"/>
    <w:rsid w:val="00DE5635"/>
    <w:rsid w:val="00DE5661"/>
    <w:rsid w:val="00DE5D47"/>
    <w:rsid w:val="00DE5E5B"/>
    <w:rsid w:val="00DE5FAD"/>
    <w:rsid w:val="00DE604C"/>
    <w:rsid w:val="00DE64BB"/>
    <w:rsid w:val="00DE6754"/>
    <w:rsid w:val="00DE7020"/>
    <w:rsid w:val="00DE77DC"/>
    <w:rsid w:val="00DE7A97"/>
    <w:rsid w:val="00DE7FA3"/>
    <w:rsid w:val="00DF0249"/>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206"/>
    <w:rsid w:val="00DF23E3"/>
    <w:rsid w:val="00DF2DBD"/>
    <w:rsid w:val="00DF2DC9"/>
    <w:rsid w:val="00DF2E45"/>
    <w:rsid w:val="00DF2EB7"/>
    <w:rsid w:val="00DF31A8"/>
    <w:rsid w:val="00DF33CB"/>
    <w:rsid w:val="00DF35E0"/>
    <w:rsid w:val="00DF3774"/>
    <w:rsid w:val="00DF3971"/>
    <w:rsid w:val="00DF4015"/>
    <w:rsid w:val="00DF4179"/>
    <w:rsid w:val="00DF435B"/>
    <w:rsid w:val="00DF450E"/>
    <w:rsid w:val="00DF4967"/>
    <w:rsid w:val="00DF55CE"/>
    <w:rsid w:val="00DF55FB"/>
    <w:rsid w:val="00DF5F76"/>
    <w:rsid w:val="00DF62B8"/>
    <w:rsid w:val="00DF62EA"/>
    <w:rsid w:val="00DF66DC"/>
    <w:rsid w:val="00DF6713"/>
    <w:rsid w:val="00DF6911"/>
    <w:rsid w:val="00DF6E70"/>
    <w:rsid w:val="00DF7821"/>
    <w:rsid w:val="00DF7AEF"/>
    <w:rsid w:val="00DF7D84"/>
    <w:rsid w:val="00DF7F16"/>
    <w:rsid w:val="00E001CE"/>
    <w:rsid w:val="00E0029B"/>
    <w:rsid w:val="00E00837"/>
    <w:rsid w:val="00E008C3"/>
    <w:rsid w:val="00E012E9"/>
    <w:rsid w:val="00E01663"/>
    <w:rsid w:val="00E017A8"/>
    <w:rsid w:val="00E017D0"/>
    <w:rsid w:val="00E01D45"/>
    <w:rsid w:val="00E0220D"/>
    <w:rsid w:val="00E02316"/>
    <w:rsid w:val="00E027EA"/>
    <w:rsid w:val="00E02DA9"/>
    <w:rsid w:val="00E0303F"/>
    <w:rsid w:val="00E03046"/>
    <w:rsid w:val="00E03423"/>
    <w:rsid w:val="00E034D1"/>
    <w:rsid w:val="00E04008"/>
    <w:rsid w:val="00E0423C"/>
    <w:rsid w:val="00E04959"/>
    <w:rsid w:val="00E05108"/>
    <w:rsid w:val="00E05143"/>
    <w:rsid w:val="00E0514C"/>
    <w:rsid w:val="00E051E5"/>
    <w:rsid w:val="00E05252"/>
    <w:rsid w:val="00E052EB"/>
    <w:rsid w:val="00E05500"/>
    <w:rsid w:val="00E05608"/>
    <w:rsid w:val="00E056B8"/>
    <w:rsid w:val="00E05873"/>
    <w:rsid w:val="00E06154"/>
    <w:rsid w:val="00E065AC"/>
    <w:rsid w:val="00E06B2B"/>
    <w:rsid w:val="00E06BC1"/>
    <w:rsid w:val="00E06ED7"/>
    <w:rsid w:val="00E06F85"/>
    <w:rsid w:val="00E07075"/>
    <w:rsid w:val="00E07081"/>
    <w:rsid w:val="00E0739C"/>
    <w:rsid w:val="00E07959"/>
    <w:rsid w:val="00E07B77"/>
    <w:rsid w:val="00E07C0C"/>
    <w:rsid w:val="00E07F78"/>
    <w:rsid w:val="00E102FC"/>
    <w:rsid w:val="00E109CC"/>
    <w:rsid w:val="00E10DA6"/>
    <w:rsid w:val="00E1115D"/>
    <w:rsid w:val="00E115A2"/>
    <w:rsid w:val="00E11CEE"/>
    <w:rsid w:val="00E11DA7"/>
    <w:rsid w:val="00E11F08"/>
    <w:rsid w:val="00E11F35"/>
    <w:rsid w:val="00E11FC2"/>
    <w:rsid w:val="00E12029"/>
    <w:rsid w:val="00E120D4"/>
    <w:rsid w:val="00E122AB"/>
    <w:rsid w:val="00E122D4"/>
    <w:rsid w:val="00E1238E"/>
    <w:rsid w:val="00E1287D"/>
    <w:rsid w:val="00E1295F"/>
    <w:rsid w:val="00E129C6"/>
    <w:rsid w:val="00E12DA7"/>
    <w:rsid w:val="00E131D1"/>
    <w:rsid w:val="00E133B4"/>
    <w:rsid w:val="00E136DD"/>
    <w:rsid w:val="00E138DD"/>
    <w:rsid w:val="00E13CBF"/>
    <w:rsid w:val="00E1470A"/>
    <w:rsid w:val="00E14A24"/>
    <w:rsid w:val="00E14C36"/>
    <w:rsid w:val="00E14C49"/>
    <w:rsid w:val="00E14CBB"/>
    <w:rsid w:val="00E14D6A"/>
    <w:rsid w:val="00E1524E"/>
    <w:rsid w:val="00E15364"/>
    <w:rsid w:val="00E1538C"/>
    <w:rsid w:val="00E15A3B"/>
    <w:rsid w:val="00E15AF7"/>
    <w:rsid w:val="00E15BEB"/>
    <w:rsid w:val="00E15C95"/>
    <w:rsid w:val="00E15D2F"/>
    <w:rsid w:val="00E162A9"/>
    <w:rsid w:val="00E16547"/>
    <w:rsid w:val="00E165BE"/>
    <w:rsid w:val="00E16D29"/>
    <w:rsid w:val="00E176AD"/>
    <w:rsid w:val="00E17701"/>
    <w:rsid w:val="00E17BB4"/>
    <w:rsid w:val="00E17E2C"/>
    <w:rsid w:val="00E17FBE"/>
    <w:rsid w:val="00E20013"/>
    <w:rsid w:val="00E2001F"/>
    <w:rsid w:val="00E20369"/>
    <w:rsid w:val="00E20438"/>
    <w:rsid w:val="00E20BF7"/>
    <w:rsid w:val="00E21265"/>
    <w:rsid w:val="00E21393"/>
    <w:rsid w:val="00E21399"/>
    <w:rsid w:val="00E21560"/>
    <w:rsid w:val="00E21676"/>
    <w:rsid w:val="00E21912"/>
    <w:rsid w:val="00E21B1C"/>
    <w:rsid w:val="00E22510"/>
    <w:rsid w:val="00E22751"/>
    <w:rsid w:val="00E229A8"/>
    <w:rsid w:val="00E22B18"/>
    <w:rsid w:val="00E22C70"/>
    <w:rsid w:val="00E23271"/>
    <w:rsid w:val="00E23416"/>
    <w:rsid w:val="00E2356B"/>
    <w:rsid w:val="00E2359E"/>
    <w:rsid w:val="00E237DC"/>
    <w:rsid w:val="00E23ADC"/>
    <w:rsid w:val="00E23E55"/>
    <w:rsid w:val="00E23EBF"/>
    <w:rsid w:val="00E23EF8"/>
    <w:rsid w:val="00E23F3F"/>
    <w:rsid w:val="00E240D9"/>
    <w:rsid w:val="00E24427"/>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B0"/>
    <w:rsid w:val="00E25FC7"/>
    <w:rsid w:val="00E26053"/>
    <w:rsid w:val="00E26154"/>
    <w:rsid w:val="00E261A0"/>
    <w:rsid w:val="00E26246"/>
    <w:rsid w:val="00E262C9"/>
    <w:rsid w:val="00E2631C"/>
    <w:rsid w:val="00E263B8"/>
    <w:rsid w:val="00E26A3E"/>
    <w:rsid w:val="00E26C9F"/>
    <w:rsid w:val="00E26DD0"/>
    <w:rsid w:val="00E26F58"/>
    <w:rsid w:val="00E27785"/>
    <w:rsid w:val="00E27B2B"/>
    <w:rsid w:val="00E27BFD"/>
    <w:rsid w:val="00E27E03"/>
    <w:rsid w:val="00E27F33"/>
    <w:rsid w:val="00E30259"/>
    <w:rsid w:val="00E306F2"/>
    <w:rsid w:val="00E309E8"/>
    <w:rsid w:val="00E31611"/>
    <w:rsid w:val="00E31761"/>
    <w:rsid w:val="00E31825"/>
    <w:rsid w:val="00E318C0"/>
    <w:rsid w:val="00E31D44"/>
    <w:rsid w:val="00E320A4"/>
    <w:rsid w:val="00E32377"/>
    <w:rsid w:val="00E323DB"/>
    <w:rsid w:val="00E324CD"/>
    <w:rsid w:val="00E329F0"/>
    <w:rsid w:val="00E333D2"/>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2A"/>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8DB"/>
    <w:rsid w:val="00E37B0D"/>
    <w:rsid w:val="00E3A7F4"/>
    <w:rsid w:val="00E4160E"/>
    <w:rsid w:val="00E41D14"/>
    <w:rsid w:val="00E41D55"/>
    <w:rsid w:val="00E41E7F"/>
    <w:rsid w:val="00E41F02"/>
    <w:rsid w:val="00E41F7E"/>
    <w:rsid w:val="00E42162"/>
    <w:rsid w:val="00E422AD"/>
    <w:rsid w:val="00E424FA"/>
    <w:rsid w:val="00E42CA0"/>
    <w:rsid w:val="00E42CCC"/>
    <w:rsid w:val="00E4331B"/>
    <w:rsid w:val="00E4338E"/>
    <w:rsid w:val="00E436B7"/>
    <w:rsid w:val="00E43BDC"/>
    <w:rsid w:val="00E43CBC"/>
    <w:rsid w:val="00E43D8D"/>
    <w:rsid w:val="00E43EC1"/>
    <w:rsid w:val="00E440BF"/>
    <w:rsid w:val="00E444BA"/>
    <w:rsid w:val="00E4463D"/>
    <w:rsid w:val="00E44668"/>
    <w:rsid w:val="00E448F8"/>
    <w:rsid w:val="00E44911"/>
    <w:rsid w:val="00E44EE4"/>
    <w:rsid w:val="00E450EB"/>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662"/>
    <w:rsid w:val="00E5072D"/>
    <w:rsid w:val="00E509F5"/>
    <w:rsid w:val="00E50BEB"/>
    <w:rsid w:val="00E51515"/>
    <w:rsid w:val="00E5173A"/>
    <w:rsid w:val="00E51DE0"/>
    <w:rsid w:val="00E5205C"/>
    <w:rsid w:val="00E52074"/>
    <w:rsid w:val="00E52317"/>
    <w:rsid w:val="00E52499"/>
    <w:rsid w:val="00E52664"/>
    <w:rsid w:val="00E5297D"/>
    <w:rsid w:val="00E52A63"/>
    <w:rsid w:val="00E53094"/>
    <w:rsid w:val="00E532B0"/>
    <w:rsid w:val="00E53483"/>
    <w:rsid w:val="00E534D4"/>
    <w:rsid w:val="00E535EC"/>
    <w:rsid w:val="00E53728"/>
    <w:rsid w:val="00E53748"/>
    <w:rsid w:val="00E53775"/>
    <w:rsid w:val="00E53878"/>
    <w:rsid w:val="00E538AF"/>
    <w:rsid w:val="00E53945"/>
    <w:rsid w:val="00E54033"/>
    <w:rsid w:val="00E54535"/>
    <w:rsid w:val="00E54681"/>
    <w:rsid w:val="00E55059"/>
    <w:rsid w:val="00E55204"/>
    <w:rsid w:val="00E55632"/>
    <w:rsid w:val="00E5574A"/>
    <w:rsid w:val="00E557EB"/>
    <w:rsid w:val="00E55CD8"/>
    <w:rsid w:val="00E55EAD"/>
    <w:rsid w:val="00E55F87"/>
    <w:rsid w:val="00E55FD3"/>
    <w:rsid w:val="00E56266"/>
    <w:rsid w:val="00E5639D"/>
    <w:rsid w:val="00E56825"/>
    <w:rsid w:val="00E56921"/>
    <w:rsid w:val="00E569DF"/>
    <w:rsid w:val="00E56B2E"/>
    <w:rsid w:val="00E56C65"/>
    <w:rsid w:val="00E56CE5"/>
    <w:rsid w:val="00E56F5C"/>
    <w:rsid w:val="00E56F9D"/>
    <w:rsid w:val="00E5704F"/>
    <w:rsid w:val="00E57784"/>
    <w:rsid w:val="00E57AAE"/>
    <w:rsid w:val="00E57BC0"/>
    <w:rsid w:val="00E6001E"/>
    <w:rsid w:val="00E60061"/>
    <w:rsid w:val="00E605DC"/>
    <w:rsid w:val="00E60CB8"/>
    <w:rsid w:val="00E60DFC"/>
    <w:rsid w:val="00E60FE3"/>
    <w:rsid w:val="00E61280"/>
    <w:rsid w:val="00E613B9"/>
    <w:rsid w:val="00E61917"/>
    <w:rsid w:val="00E61952"/>
    <w:rsid w:val="00E621C3"/>
    <w:rsid w:val="00E623C0"/>
    <w:rsid w:val="00E62589"/>
    <w:rsid w:val="00E629DF"/>
    <w:rsid w:val="00E62EFB"/>
    <w:rsid w:val="00E6309A"/>
    <w:rsid w:val="00E63143"/>
    <w:rsid w:val="00E6325D"/>
    <w:rsid w:val="00E634B4"/>
    <w:rsid w:val="00E635DE"/>
    <w:rsid w:val="00E635F5"/>
    <w:rsid w:val="00E63620"/>
    <w:rsid w:val="00E63951"/>
    <w:rsid w:val="00E63B03"/>
    <w:rsid w:val="00E63F17"/>
    <w:rsid w:val="00E63F22"/>
    <w:rsid w:val="00E643D5"/>
    <w:rsid w:val="00E64780"/>
    <w:rsid w:val="00E64D7E"/>
    <w:rsid w:val="00E64E18"/>
    <w:rsid w:val="00E64F19"/>
    <w:rsid w:val="00E64F6D"/>
    <w:rsid w:val="00E65300"/>
    <w:rsid w:val="00E6546B"/>
    <w:rsid w:val="00E660E5"/>
    <w:rsid w:val="00E6610E"/>
    <w:rsid w:val="00E661B0"/>
    <w:rsid w:val="00E66636"/>
    <w:rsid w:val="00E66BB7"/>
    <w:rsid w:val="00E66BF7"/>
    <w:rsid w:val="00E66C2E"/>
    <w:rsid w:val="00E66D32"/>
    <w:rsid w:val="00E66F6E"/>
    <w:rsid w:val="00E6713B"/>
    <w:rsid w:val="00E677D2"/>
    <w:rsid w:val="00E703AE"/>
    <w:rsid w:val="00E704F2"/>
    <w:rsid w:val="00E70E72"/>
    <w:rsid w:val="00E71188"/>
    <w:rsid w:val="00E712B8"/>
    <w:rsid w:val="00E713F3"/>
    <w:rsid w:val="00E71467"/>
    <w:rsid w:val="00E71749"/>
    <w:rsid w:val="00E717C6"/>
    <w:rsid w:val="00E71C9D"/>
    <w:rsid w:val="00E71D9B"/>
    <w:rsid w:val="00E72011"/>
    <w:rsid w:val="00E722A5"/>
    <w:rsid w:val="00E7262C"/>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3C1"/>
    <w:rsid w:val="00E7653A"/>
    <w:rsid w:val="00E76A3D"/>
    <w:rsid w:val="00E76FF2"/>
    <w:rsid w:val="00E774D0"/>
    <w:rsid w:val="00E77506"/>
    <w:rsid w:val="00E77565"/>
    <w:rsid w:val="00E77821"/>
    <w:rsid w:val="00E778AA"/>
    <w:rsid w:val="00E77A2D"/>
    <w:rsid w:val="00E77ADB"/>
    <w:rsid w:val="00E77C0A"/>
    <w:rsid w:val="00E77E39"/>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091"/>
    <w:rsid w:val="00E83148"/>
    <w:rsid w:val="00E837C6"/>
    <w:rsid w:val="00E8427F"/>
    <w:rsid w:val="00E846A4"/>
    <w:rsid w:val="00E848A4"/>
    <w:rsid w:val="00E84C6E"/>
    <w:rsid w:val="00E857FB"/>
    <w:rsid w:val="00E85D82"/>
    <w:rsid w:val="00E86217"/>
    <w:rsid w:val="00E866F8"/>
    <w:rsid w:val="00E8682A"/>
    <w:rsid w:val="00E86B5D"/>
    <w:rsid w:val="00E87106"/>
    <w:rsid w:val="00E87946"/>
    <w:rsid w:val="00E879EE"/>
    <w:rsid w:val="00E87D38"/>
    <w:rsid w:val="00E908DF"/>
    <w:rsid w:val="00E90918"/>
    <w:rsid w:val="00E9095D"/>
    <w:rsid w:val="00E90D51"/>
    <w:rsid w:val="00E90FAF"/>
    <w:rsid w:val="00E910F8"/>
    <w:rsid w:val="00E912A9"/>
    <w:rsid w:val="00E916ED"/>
    <w:rsid w:val="00E9179B"/>
    <w:rsid w:val="00E91B4B"/>
    <w:rsid w:val="00E91C07"/>
    <w:rsid w:val="00E91EBA"/>
    <w:rsid w:val="00E91F27"/>
    <w:rsid w:val="00E923A1"/>
    <w:rsid w:val="00E924A6"/>
    <w:rsid w:val="00E924B4"/>
    <w:rsid w:val="00E9250F"/>
    <w:rsid w:val="00E9334F"/>
    <w:rsid w:val="00E933CC"/>
    <w:rsid w:val="00E934E1"/>
    <w:rsid w:val="00E9372A"/>
    <w:rsid w:val="00E938C0"/>
    <w:rsid w:val="00E93B73"/>
    <w:rsid w:val="00E93CA7"/>
    <w:rsid w:val="00E93CDE"/>
    <w:rsid w:val="00E93D0D"/>
    <w:rsid w:val="00E941A4"/>
    <w:rsid w:val="00E94244"/>
    <w:rsid w:val="00E9464A"/>
    <w:rsid w:val="00E94768"/>
    <w:rsid w:val="00E94CE0"/>
    <w:rsid w:val="00E9516E"/>
    <w:rsid w:val="00E9595D"/>
    <w:rsid w:val="00E95D8A"/>
    <w:rsid w:val="00E95E4A"/>
    <w:rsid w:val="00E965EF"/>
    <w:rsid w:val="00E96A22"/>
    <w:rsid w:val="00E96E15"/>
    <w:rsid w:val="00E97460"/>
    <w:rsid w:val="00E9756B"/>
    <w:rsid w:val="00E97E73"/>
    <w:rsid w:val="00EA032C"/>
    <w:rsid w:val="00EA036A"/>
    <w:rsid w:val="00EA05E8"/>
    <w:rsid w:val="00EA0D6E"/>
    <w:rsid w:val="00EA0ED9"/>
    <w:rsid w:val="00EA1275"/>
    <w:rsid w:val="00EA1327"/>
    <w:rsid w:val="00EA141E"/>
    <w:rsid w:val="00EA18A6"/>
    <w:rsid w:val="00EA1E04"/>
    <w:rsid w:val="00EA215D"/>
    <w:rsid w:val="00EA229C"/>
    <w:rsid w:val="00EA37B8"/>
    <w:rsid w:val="00EA3D88"/>
    <w:rsid w:val="00EA3E5A"/>
    <w:rsid w:val="00EA3E77"/>
    <w:rsid w:val="00EA45C0"/>
    <w:rsid w:val="00EA45D9"/>
    <w:rsid w:val="00EA4A87"/>
    <w:rsid w:val="00EA5143"/>
    <w:rsid w:val="00EA5484"/>
    <w:rsid w:val="00EA567F"/>
    <w:rsid w:val="00EA569E"/>
    <w:rsid w:val="00EA59FE"/>
    <w:rsid w:val="00EA5A89"/>
    <w:rsid w:val="00EA5D6B"/>
    <w:rsid w:val="00EA5F57"/>
    <w:rsid w:val="00EA606F"/>
    <w:rsid w:val="00EA632F"/>
    <w:rsid w:val="00EA6606"/>
    <w:rsid w:val="00EA6D9F"/>
    <w:rsid w:val="00EA6DEC"/>
    <w:rsid w:val="00EA7225"/>
    <w:rsid w:val="00EA74A1"/>
    <w:rsid w:val="00EA76C8"/>
    <w:rsid w:val="00EA78FF"/>
    <w:rsid w:val="00EA7B92"/>
    <w:rsid w:val="00EA7C68"/>
    <w:rsid w:val="00EA7EAF"/>
    <w:rsid w:val="00EA7EE0"/>
    <w:rsid w:val="00EB0952"/>
    <w:rsid w:val="00EB09B5"/>
    <w:rsid w:val="00EB0C4F"/>
    <w:rsid w:val="00EB185A"/>
    <w:rsid w:val="00EB1B91"/>
    <w:rsid w:val="00EB1CF4"/>
    <w:rsid w:val="00EB1E6E"/>
    <w:rsid w:val="00EB1E7C"/>
    <w:rsid w:val="00EB1F57"/>
    <w:rsid w:val="00EB21E4"/>
    <w:rsid w:val="00EB2348"/>
    <w:rsid w:val="00EB2408"/>
    <w:rsid w:val="00EB27E1"/>
    <w:rsid w:val="00EB2960"/>
    <w:rsid w:val="00EB2A99"/>
    <w:rsid w:val="00EB2F68"/>
    <w:rsid w:val="00EB308B"/>
    <w:rsid w:val="00EB376B"/>
    <w:rsid w:val="00EB3E57"/>
    <w:rsid w:val="00EB4216"/>
    <w:rsid w:val="00EB42A0"/>
    <w:rsid w:val="00EB4501"/>
    <w:rsid w:val="00EB49A4"/>
    <w:rsid w:val="00EB53EA"/>
    <w:rsid w:val="00EB5B7A"/>
    <w:rsid w:val="00EB5CC2"/>
    <w:rsid w:val="00EB5D79"/>
    <w:rsid w:val="00EB5DB5"/>
    <w:rsid w:val="00EB5DC3"/>
    <w:rsid w:val="00EB6385"/>
    <w:rsid w:val="00EB63B0"/>
    <w:rsid w:val="00EB6718"/>
    <w:rsid w:val="00EB6771"/>
    <w:rsid w:val="00EB6B49"/>
    <w:rsid w:val="00EB6B8B"/>
    <w:rsid w:val="00EB6C81"/>
    <w:rsid w:val="00EB6D42"/>
    <w:rsid w:val="00EB70E1"/>
    <w:rsid w:val="00EB7753"/>
    <w:rsid w:val="00EC0237"/>
    <w:rsid w:val="00EC0A35"/>
    <w:rsid w:val="00EC0A94"/>
    <w:rsid w:val="00EC0AF4"/>
    <w:rsid w:val="00EC0C4B"/>
    <w:rsid w:val="00EC0EC1"/>
    <w:rsid w:val="00EC0F55"/>
    <w:rsid w:val="00EC11A1"/>
    <w:rsid w:val="00EC1B55"/>
    <w:rsid w:val="00EC1B56"/>
    <w:rsid w:val="00EC2096"/>
    <w:rsid w:val="00EC2564"/>
    <w:rsid w:val="00EC265F"/>
    <w:rsid w:val="00EC297B"/>
    <w:rsid w:val="00EC2BA5"/>
    <w:rsid w:val="00EC2E8C"/>
    <w:rsid w:val="00EC2F35"/>
    <w:rsid w:val="00EC326D"/>
    <w:rsid w:val="00EC3656"/>
    <w:rsid w:val="00EC3C2A"/>
    <w:rsid w:val="00EC4048"/>
    <w:rsid w:val="00EC4665"/>
    <w:rsid w:val="00EC5301"/>
    <w:rsid w:val="00EC5594"/>
    <w:rsid w:val="00EC5949"/>
    <w:rsid w:val="00EC5D49"/>
    <w:rsid w:val="00EC6587"/>
    <w:rsid w:val="00EC6F66"/>
    <w:rsid w:val="00EC7001"/>
    <w:rsid w:val="00EC7072"/>
    <w:rsid w:val="00EC75D1"/>
    <w:rsid w:val="00EC7608"/>
    <w:rsid w:val="00EC76E9"/>
    <w:rsid w:val="00EC78D1"/>
    <w:rsid w:val="00EC7B61"/>
    <w:rsid w:val="00EC7F36"/>
    <w:rsid w:val="00EC7FC3"/>
    <w:rsid w:val="00ED00CB"/>
    <w:rsid w:val="00ED056C"/>
    <w:rsid w:val="00ED07E1"/>
    <w:rsid w:val="00ED08FF"/>
    <w:rsid w:val="00ED0B82"/>
    <w:rsid w:val="00ED0DE8"/>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4DCC"/>
    <w:rsid w:val="00ED5249"/>
    <w:rsid w:val="00ED5440"/>
    <w:rsid w:val="00ED5694"/>
    <w:rsid w:val="00ED56A6"/>
    <w:rsid w:val="00ED5FBF"/>
    <w:rsid w:val="00ED6A0E"/>
    <w:rsid w:val="00ED6C11"/>
    <w:rsid w:val="00ED713A"/>
    <w:rsid w:val="00ED72EE"/>
    <w:rsid w:val="00ED7570"/>
    <w:rsid w:val="00ED78D3"/>
    <w:rsid w:val="00ED795C"/>
    <w:rsid w:val="00ED7CB7"/>
    <w:rsid w:val="00ED7F83"/>
    <w:rsid w:val="00EDFFD8"/>
    <w:rsid w:val="00EE0249"/>
    <w:rsid w:val="00EE028C"/>
    <w:rsid w:val="00EE038B"/>
    <w:rsid w:val="00EE05D8"/>
    <w:rsid w:val="00EE0A2D"/>
    <w:rsid w:val="00EE0E16"/>
    <w:rsid w:val="00EE0E7A"/>
    <w:rsid w:val="00EE1426"/>
    <w:rsid w:val="00EE14E6"/>
    <w:rsid w:val="00EE1BC6"/>
    <w:rsid w:val="00EE23BE"/>
    <w:rsid w:val="00EE255C"/>
    <w:rsid w:val="00EE2618"/>
    <w:rsid w:val="00EE2A91"/>
    <w:rsid w:val="00EE2C8D"/>
    <w:rsid w:val="00EE34A5"/>
    <w:rsid w:val="00EE34B4"/>
    <w:rsid w:val="00EE3630"/>
    <w:rsid w:val="00EE384E"/>
    <w:rsid w:val="00EE3B7D"/>
    <w:rsid w:val="00EE3D54"/>
    <w:rsid w:val="00EE3E16"/>
    <w:rsid w:val="00EE4434"/>
    <w:rsid w:val="00EE4832"/>
    <w:rsid w:val="00EE4903"/>
    <w:rsid w:val="00EE4F10"/>
    <w:rsid w:val="00EE5086"/>
    <w:rsid w:val="00EE543C"/>
    <w:rsid w:val="00EE566C"/>
    <w:rsid w:val="00EE5EB9"/>
    <w:rsid w:val="00EE63AC"/>
    <w:rsid w:val="00EE648D"/>
    <w:rsid w:val="00EE676A"/>
    <w:rsid w:val="00EE70E3"/>
    <w:rsid w:val="00EE7283"/>
    <w:rsid w:val="00EE7506"/>
    <w:rsid w:val="00EE7735"/>
    <w:rsid w:val="00EE7C70"/>
    <w:rsid w:val="00EF0074"/>
    <w:rsid w:val="00EF0081"/>
    <w:rsid w:val="00EF02FD"/>
    <w:rsid w:val="00EF0373"/>
    <w:rsid w:val="00EF0386"/>
    <w:rsid w:val="00EF0E8D"/>
    <w:rsid w:val="00EF0F5B"/>
    <w:rsid w:val="00EF0F7A"/>
    <w:rsid w:val="00EF1096"/>
    <w:rsid w:val="00EF118B"/>
    <w:rsid w:val="00EF1646"/>
    <w:rsid w:val="00EF181E"/>
    <w:rsid w:val="00EF1E63"/>
    <w:rsid w:val="00EF2075"/>
    <w:rsid w:val="00EF214A"/>
    <w:rsid w:val="00EF2262"/>
    <w:rsid w:val="00EF22F7"/>
    <w:rsid w:val="00EF2388"/>
    <w:rsid w:val="00EF249D"/>
    <w:rsid w:val="00EF2583"/>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815"/>
    <w:rsid w:val="00EF5B68"/>
    <w:rsid w:val="00EF61B3"/>
    <w:rsid w:val="00EF6336"/>
    <w:rsid w:val="00EF63A8"/>
    <w:rsid w:val="00EF6592"/>
    <w:rsid w:val="00EF6BF5"/>
    <w:rsid w:val="00EF6C7C"/>
    <w:rsid w:val="00EF6E1F"/>
    <w:rsid w:val="00EF6F67"/>
    <w:rsid w:val="00EF6FE2"/>
    <w:rsid w:val="00EF7371"/>
    <w:rsid w:val="00EF76DA"/>
    <w:rsid w:val="00F005FC"/>
    <w:rsid w:val="00F006FC"/>
    <w:rsid w:val="00F00791"/>
    <w:rsid w:val="00F007E1"/>
    <w:rsid w:val="00F01359"/>
    <w:rsid w:val="00F013BF"/>
    <w:rsid w:val="00F01C1D"/>
    <w:rsid w:val="00F01D97"/>
    <w:rsid w:val="00F01E93"/>
    <w:rsid w:val="00F0204B"/>
    <w:rsid w:val="00F0213D"/>
    <w:rsid w:val="00F022FF"/>
    <w:rsid w:val="00F0236E"/>
    <w:rsid w:val="00F02716"/>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4FD4"/>
    <w:rsid w:val="00F051AF"/>
    <w:rsid w:val="00F05212"/>
    <w:rsid w:val="00F05472"/>
    <w:rsid w:val="00F0551A"/>
    <w:rsid w:val="00F05797"/>
    <w:rsid w:val="00F058F5"/>
    <w:rsid w:val="00F05A64"/>
    <w:rsid w:val="00F05C22"/>
    <w:rsid w:val="00F05EB3"/>
    <w:rsid w:val="00F06198"/>
    <w:rsid w:val="00F06204"/>
    <w:rsid w:val="00F06373"/>
    <w:rsid w:val="00F063E7"/>
    <w:rsid w:val="00F066F0"/>
    <w:rsid w:val="00F06A83"/>
    <w:rsid w:val="00F06E60"/>
    <w:rsid w:val="00F06E95"/>
    <w:rsid w:val="00F06FF0"/>
    <w:rsid w:val="00F070EC"/>
    <w:rsid w:val="00F073A7"/>
    <w:rsid w:val="00F0779A"/>
    <w:rsid w:val="00F07B91"/>
    <w:rsid w:val="00F07E15"/>
    <w:rsid w:val="00F10130"/>
    <w:rsid w:val="00F10507"/>
    <w:rsid w:val="00F10A03"/>
    <w:rsid w:val="00F10DB6"/>
    <w:rsid w:val="00F10EFD"/>
    <w:rsid w:val="00F11163"/>
    <w:rsid w:val="00F111CD"/>
    <w:rsid w:val="00F112C8"/>
    <w:rsid w:val="00F112CB"/>
    <w:rsid w:val="00F1142A"/>
    <w:rsid w:val="00F116A0"/>
    <w:rsid w:val="00F11BF8"/>
    <w:rsid w:val="00F1239F"/>
    <w:rsid w:val="00F127DC"/>
    <w:rsid w:val="00F12D7D"/>
    <w:rsid w:val="00F12E61"/>
    <w:rsid w:val="00F12FC9"/>
    <w:rsid w:val="00F13259"/>
    <w:rsid w:val="00F1331A"/>
    <w:rsid w:val="00F13B82"/>
    <w:rsid w:val="00F13DBD"/>
    <w:rsid w:val="00F141B2"/>
    <w:rsid w:val="00F1490C"/>
    <w:rsid w:val="00F14C2A"/>
    <w:rsid w:val="00F15362"/>
    <w:rsid w:val="00F154AD"/>
    <w:rsid w:val="00F157D2"/>
    <w:rsid w:val="00F1622D"/>
    <w:rsid w:val="00F16386"/>
    <w:rsid w:val="00F163A4"/>
    <w:rsid w:val="00F16547"/>
    <w:rsid w:val="00F16715"/>
    <w:rsid w:val="00F16B4F"/>
    <w:rsid w:val="00F16C52"/>
    <w:rsid w:val="00F17476"/>
    <w:rsid w:val="00F176BC"/>
    <w:rsid w:val="00F17DD3"/>
    <w:rsid w:val="00F20097"/>
    <w:rsid w:val="00F20156"/>
    <w:rsid w:val="00F203B5"/>
    <w:rsid w:val="00F20931"/>
    <w:rsid w:val="00F20A04"/>
    <w:rsid w:val="00F20C99"/>
    <w:rsid w:val="00F20F01"/>
    <w:rsid w:val="00F21376"/>
    <w:rsid w:val="00F217FF"/>
    <w:rsid w:val="00F21838"/>
    <w:rsid w:val="00F2185A"/>
    <w:rsid w:val="00F21945"/>
    <w:rsid w:val="00F2246B"/>
    <w:rsid w:val="00F22765"/>
    <w:rsid w:val="00F22A7E"/>
    <w:rsid w:val="00F22C9E"/>
    <w:rsid w:val="00F22ED1"/>
    <w:rsid w:val="00F23207"/>
    <w:rsid w:val="00F233E2"/>
    <w:rsid w:val="00F233EC"/>
    <w:rsid w:val="00F23747"/>
    <w:rsid w:val="00F2377E"/>
    <w:rsid w:val="00F237FD"/>
    <w:rsid w:val="00F23D7E"/>
    <w:rsid w:val="00F23E06"/>
    <w:rsid w:val="00F23FE7"/>
    <w:rsid w:val="00F24037"/>
    <w:rsid w:val="00F24592"/>
    <w:rsid w:val="00F2496D"/>
    <w:rsid w:val="00F249E8"/>
    <w:rsid w:val="00F24FCE"/>
    <w:rsid w:val="00F2538E"/>
    <w:rsid w:val="00F25B43"/>
    <w:rsid w:val="00F2621D"/>
    <w:rsid w:val="00F26244"/>
    <w:rsid w:val="00F26839"/>
    <w:rsid w:val="00F27119"/>
    <w:rsid w:val="00F271E4"/>
    <w:rsid w:val="00F2774A"/>
    <w:rsid w:val="00F278E5"/>
    <w:rsid w:val="00F27A1E"/>
    <w:rsid w:val="00F27AC5"/>
    <w:rsid w:val="00F3026E"/>
    <w:rsid w:val="00F3059A"/>
    <w:rsid w:val="00F30F46"/>
    <w:rsid w:val="00F311CF"/>
    <w:rsid w:val="00F31851"/>
    <w:rsid w:val="00F319CE"/>
    <w:rsid w:val="00F31B22"/>
    <w:rsid w:val="00F31F11"/>
    <w:rsid w:val="00F31FD3"/>
    <w:rsid w:val="00F32325"/>
    <w:rsid w:val="00F32599"/>
    <w:rsid w:val="00F328F4"/>
    <w:rsid w:val="00F32938"/>
    <w:rsid w:val="00F3331B"/>
    <w:rsid w:val="00F33353"/>
    <w:rsid w:val="00F333EB"/>
    <w:rsid w:val="00F33732"/>
    <w:rsid w:val="00F338DA"/>
    <w:rsid w:val="00F3406A"/>
    <w:rsid w:val="00F34144"/>
    <w:rsid w:val="00F341A4"/>
    <w:rsid w:val="00F34D0F"/>
    <w:rsid w:val="00F34F71"/>
    <w:rsid w:val="00F353D5"/>
    <w:rsid w:val="00F35402"/>
    <w:rsid w:val="00F35609"/>
    <w:rsid w:val="00F3595C"/>
    <w:rsid w:val="00F35EEB"/>
    <w:rsid w:val="00F362AA"/>
    <w:rsid w:val="00F3683B"/>
    <w:rsid w:val="00F36A85"/>
    <w:rsid w:val="00F36AF8"/>
    <w:rsid w:val="00F36C3C"/>
    <w:rsid w:val="00F36E93"/>
    <w:rsid w:val="00F36EFE"/>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ABF"/>
    <w:rsid w:val="00F41C1B"/>
    <w:rsid w:val="00F41D14"/>
    <w:rsid w:val="00F423A7"/>
    <w:rsid w:val="00F4246C"/>
    <w:rsid w:val="00F42CD8"/>
    <w:rsid w:val="00F42DC2"/>
    <w:rsid w:val="00F42DE1"/>
    <w:rsid w:val="00F42E0C"/>
    <w:rsid w:val="00F433D3"/>
    <w:rsid w:val="00F43639"/>
    <w:rsid w:val="00F436BF"/>
    <w:rsid w:val="00F43BAA"/>
    <w:rsid w:val="00F43E89"/>
    <w:rsid w:val="00F43F31"/>
    <w:rsid w:val="00F440EB"/>
    <w:rsid w:val="00F44195"/>
    <w:rsid w:val="00F444DA"/>
    <w:rsid w:val="00F44B47"/>
    <w:rsid w:val="00F44F8F"/>
    <w:rsid w:val="00F454E8"/>
    <w:rsid w:val="00F455BD"/>
    <w:rsid w:val="00F45F43"/>
    <w:rsid w:val="00F46247"/>
    <w:rsid w:val="00F466C9"/>
    <w:rsid w:val="00F46FA4"/>
    <w:rsid w:val="00F47456"/>
    <w:rsid w:val="00F474DF"/>
    <w:rsid w:val="00F47652"/>
    <w:rsid w:val="00F47D44"/>
    <w:rsid w:val="00F47FBB"/>
    <w:rsid w:val="00F500FD"/>
    <w:rsid w:val="00F50148"/>
    <w:rsid w:val="00F5043C"/>
    <w:rsid w:val="00F50881"/>
    <w:rsid w:val="00F5093A"/>
    <w:rsid w:val="00F5099C"/>
    <w:rsid w:val="00F50A12"/>
    <w:rsid w:val="00F50A7C"/>
    <w:rsid w:val="00F50C5B"/>
    <w:rsid w:val="00F50CC7"/>
    <w:rsid w:val="00F50F94"/>
    <w:rsid w:val="00F516EE"/>
    <w:rsid w:val="00F51FCD"/>
    <w:rsid w:val="00F520DB"/>
    <w:rsid w:val="00F5227B"/>
    <w:rsid w:val="00F5264A"/>
    <w:rsid w:val="00F52748"/>
    <w:rsid w:val="00F52946"/>
    <w:rsid w:val="00F5299E"/>
    <w:rsid w:val="00F529E1"/>
    <w:rsid w:val="00F52F77"/>
    <w:rsid w:val="00F52F7C"/>
    <w:rsid w:val="00F5329F"/>
    <w:rsid w:val="00F5347D"/>
    <w:rsid w:val="00F53527"/>
    <w:rsid w:val="00F540F8"/>
    <w:rsid w:val="00F543B6"/>
    <w:rsid w:val="00F544AB"/>
    <w:rsid w:val="00F54702"/>
    <w:rsid w:val="00F54778"/>
    <w:rsid w:val="00F54898"/>
    <w:rsid w:val="00F54ACA"/>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8D"/>
    <w:rsid w:val="00F604A3"/>
    <w:rsid w:val="00F60616"/>
    <w:rsid w:val="00F60EB3"/>
    <w:rsid w:val="00F6121C"/>
    <w:rsid w:val="00F616FA"/>
    <w:rsid w:val="00F61EFB"/>
    <w:rsid w:val="00F61FDC"/>
    <w:rsid w:val="00F62163"/>
    <w:rsid w:val="00F621B1"/>
    <w:rsid w:val="00F629BA"/>
    <w:rsid w:val="00F62B88"/>
    <w:rsid w:val="00F62DCC"/>
    <w:rsid w:val="00F63669"/>
    <w:rsid w:val="00F63B6A"/>
    <w:rsid w:val="00F63C61"/>
    <w:rsid w:val="00F63E4B"/>
    <w:rsid w:val="00F63F6A"/>
    <w:rsid w:val="00F64731"/>
    <w:rsid w:val="00F64D7C"/>
    <w:rsid w:val="00F64F88"/>
    <w:rsid w:val="00F65053"/>
    <w:rsid w:val="00F65A09"/>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928"/>
    <w:rsid w:val="00F70D5D"/>
    <w:rsid w:val="00F70D68"/>
    <w:rsid w:val="00F71023"/>
    <w:rsid w:val="00F71130"/>
    <w:rsid w:val="00F7119F"/>
    <w:rsid w:val="00F71BB2"/>
    <w:rsid w:val="00F71EBB"/>
    <w:rsid w:val="00F71F01"/>
    <w:rsid w:val="00F720C2"/>
    <w:rsid w:val="00F7235D"/>
    <w:rsid w:val="00F72700"/>
    <w:rsid w:val="00F72C57"/>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477"/>
    <w:rsid w:val="00F755C0"/>
    <w:rsid w:val="00F757F2"/>
    <w:rsid w:val="00F75A61"/>
    <w:rsid w:val="00F75C72"/>
    <w:rsid w:val="00F75D32"/>
    <w:rsid w:val="00F7611B"/>
    <w:rsid w:val="00F761A6"/>
    <w:rsid w:val="00F761D3"/>
    <w:rsid w:val="00F76452"/>
    <w:rsid w:val="00F764EC"/>
    <w:rsid w:val="00F76585"/>
    <w:rsid w:val="00F768EF"/>
    <w:rsid w:val="00F770CD"/>
    <w:rsid w:val="00F7750E"/>
    <w:rsid w:val="00F77925"/>
    <w:rsid w:val="00F77BE8"/>
    <w:rsid w:val="00F809E3"/>
    <w:rsid w:val="00F81A25"/>
    <w:rsid w:val="00F81A48"/>
    <w:rsid w:val="00F823F5"/>
    <w:rsid w:val="00F82A1C"/>
    <w:rsid w:val="00F82BE1"/>
    <w:rsid w:val="00F82BE9"/>
    <w:rsid w:val="00F82C7C"/>
    <w:rsid w:val="00F832F7"/>
    <w:rsid w:val="00F83B84"/>
    <w:rsid w:val="00F83DBE"/>
    <w:rsid w:val="00F83FF5"/>
    <w:rsid w:val="00F84174"/>
    <w:rsid w:val="00F84281"/>
    <w:rsid w:val="00F84368"/>
    <w:rsid w:val="00F84375"/>
    <w:rsid w:val="00F84401"/>
    <w:rsid w:val="00F84411"/>
    <w:rsid w:val="00F846C4"/>
    <w:rsid w:val="00F848B5"/>
    <w:rsid w:val="00F849EA"/>
    <w:rsid w:val="00F84A3C"/>
    <w:rsid w:val="00F84C65"/>
    <w:rsid w:val="00F8506E"/>
    <w:rsid w:val="00F85693"/>
    <w:rsid w:val="00F85ADE"/>
    <w:rsid w:val="00F85CD1"/>
    <w:rsid w:val="00F85D43"/>
    <w:rsid w:val="00F85DA8"/>
    <w:rsid w:val="00F85FC6"/>
    <w:rsid w:val="00F8625B"/>
    <w:rsid w:val="00F86677"/>
    <w:rsid w:val="00F86A39"/>
    <w:rsid w:val="00F86B97"/>
    <w:rsid w:val="00F86EE5"/>
    <w:rsid w:val="00F870BA"/>
    <w:rsid w:val="00F871A7"/>
    <w:rsid w:val="00F87414"/>
    <w:rsid w:val="00F87697"/>
    <w:rsid w:val="00F87A0A"/>
    <w:rsid w:val="00F90077"/>
    <w:rsid w:val="00F900B0"/>
    <w:rsid w:val="00F901EB"/>
    <w:rsid w:val="00F903B9"/>
    <w:rsid w:val="00F91092"/>
    <w:rsid w:val="00F915E1"/>
    <w:rsid w:val="00F916B3"/>
    <w:rsid w:val="00F91D16"/>
    <w:rsid w:val="00F91EFF"/>
    <w:rsid w:val="00F922DC"/>
    <w:rsid w:val="00F9233A"/>
    <w:rsid w:val="00F9257D"/>
    <w:rsid w:val="00F92B8A"/>
    <w:rsid w:val="00F92BBA"/>
    <w:rsid w:val="00F92D89"/>
    <w:rsid w:val="00F92F0E"/>
    <w:rsid w:val="00F93C4C"/>
    <w:rsid w:val="00F93CE6"/>
    <w:rsid w:val="00F93DC8"/>
    <w:rsid w:val="00F93EEE"/>
    <w:rsid w:val="00F93F59"/>
    <w:rsid w:val="00F9433A"/>
    <w:rsid w:val="00F94600"/>
    <w:rsid w:val="00F94900"/>
    <w:rsid w:val="00F94E5D"/>
    <w:rsid w:val="00F95132"/>
    <w:rsid w:val="00F952DB"/>
    <w:rsid w:val="00F95821"/>
    <w:rsid w:val="00F95C41"/>
    <w:rsid w:val="00F962D3"/>
    <w:rsid w:val="00F96493"/>
    <w:rsid w:val="00F96C5C"/>
    <w:rsid w:val="00F96DD0"/>
    <w:rsid w:val="00F96F0E"/>
    <w:rsid w:val="00F977E6"/>
    <w:rsid w:val="00F9793C"/>
    <w:rsid w:val="00F97BC2"/>
    <w:rsid w:val="00F97CF8"/>
    <w:rsid w:val="00F97DF0"/>
    <w:rsid w:val="00F97E09"/>
    <w:rsid w:val="00F97FFA"/>
    <w:rsid w:val="00FA0708"/>
    <w:rsid w:val="00FA0E4A"/>
    <w:rsid w:val="00FA11C7"/>
    <w:rsid w:val="00FA158B"/>
    <w:rsid w:val="00FA1D9C"/>
    <w:rsid w:val="00FA20CE"/>
    <w:rsid w:val="00FA2176"/>
    <w:rsid w:val="00FA2779"/>
    <w:rsid w:val="00FA2849"/>
    <w:rsid w:val="00FA29C7"/>
    <w:rsid w:val="00FA2C5B"/>
    <w:rsid w:val="00FA2E43"/>
    <w:rsid w:val="00FA2FD3"/>
    <w:rsid w:val="00FA3196"/>
    <w:rsid w:val="00FA3904"/>
    <w:rsid w:val="00FA3A27"/>
    <w:rsid w:val="00FA3A90"/>
    <w:rsid w:val="00FA3C67"/>
    <w:rsid w:val="00FA3E42"/>
    <w:rsid w:val="00FA44F5"/>
    <w:rsid w:val="00FA48DF"/>
    <w:rsid w:val="00FA4AAB"/>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B18"/>
    <w:rsid w:val="00FB0EE3"/>
    <w:rsid w:val="00FB1850"/>
    <w:rsid w:val="00FB18D6"/>
    <w:rsid w:val="00FB1CE7"/>
    <w:rsid w:val="00FB2071"/>
    <w:rsid w:val="00FB2314"/>
    <w:rsid w:val="00FB2E26"/>
    <w:rsid w:val="00FB3254"/>
    <w:rsid w:val="00FB352A"/>
    <w:rsid w:val="00FB3A07"/>
    <w:rsid w:val="00FB3BAB"/>
    <w:rsid w:val="00FB3BC5"/>
    <w:rsid w:val="00FB3DE3"/>
    <w:rsid w:val="00FB4290"/>
    <w:rsid w:val="00FB44C9"/>
    <w:rsid w:val="00FB45DE"/>
    <w:rsid w:val="00FB469F"/>
    <w:rsid w:val="00FB4734"/>
    <w:rsid w:val="00FB5123"/>
    <w:rsid w:val="00FB5206"/>
    <w:rsid w:val="00FB56E4"/>
    <w:rsid w:val="00FB5869"/>
    <w:rsid w:val="00FB59F4"/>
    <w:rsid w:val="00FB5DE7"/>
    <w:rsid w:val="00FB5FF3"/>
    <w:rsid w:val="00FB62D2"/>
    <w:rsid w:val="00FB62FA"/>
    <w:rsid w:val="00FB6749"/>
    <w:rsid w:val="00FB69F3"/>
    <w:rsid w:val="00FB6B3B"/>
    <w:rsid w:val="00FB6F29"/>
    <w:rsid w:val="00FB6F93"/>
    <w:rsid w:val="00FB746D"/>
    <w:rsid w:val="00FB7968"/>
    <w:rsid w:val="00FB7ECA"/>
    <w:rsid w:val="00FB7F39"/>
    <w:rsid w:val="00FC0132"/>
    <w:rsid w:val="00FC013F"/>
    <w:rsid w:val="00FC05A0"/>
    <w:rsid w:val="00FC0712"/>
    <w:rsid w:val="00FC0847"/>
    <w:rsid w:val="00FC0E20"/>
    <w:rsid w:val="00FC0E4D"/>
    <w:rsid w:val="00FC145A"/>
    <w:rsid w:val="00FC176A"/>
    <w:rsid w:val="00FC17EF"/>
    <w:rsid w:val="00FC1C14"/>
    <w:rsid w:val="00FC204E"/>
    <w:rsid w:val="00FC215E"/>
    <w:rsid w:val="00FC2602"/>
    <w:rsid w:val="00FC2CA5"/>
    <w:rsid w:val="00FC2DDA"/>
    <w:rsid w:val="00FC2F48"/>
    <w:rsid w:val="00FC2FBF"/>
    <w:rsid w:val="00FC4F34"/>
    <w:rsid w:val="00FC50AA"/>
    <w:rsid w:val="00FC5139"/>
    <w:rsid w:val="00FC517B"/>
    <w:rsid w:val="00FC562F"/>
    <w:rsid w:val="00FC5972"/>
    <w:rsid w:val="00FC5986"/>
    <w:rsid w:val="00FC6852"/>
    <w:rsid w:val="00FC6A28"/>
    <w:rsid w:val="00FC6D27"/>
    <w:rsid w:val="00FC6EF7"/>
    <w:rsid w:val="00FC6FC4"/>
    <w:rsid w:val="00FC770B"/>
    <w:rsid w:val="00FC774F"/>
    <w:rsid w:val="00FC7855"/>
    <w:rsid w:val="00FC7A33"/>
    <w:rsid w:val="00FD076E"/>
    <w:rsid w:val="00FD0926"/>
    <w:rsid w:val="00FD0CF1"/>
    <w:rsid w:val="00FD0D7A"/>
    <w:rsid w:val="00FD0E6D"/>
    <w:rsid w:val="00FD0F31"/>
    <w:rsid w:val="00FD13BC"/>
    <w:rsid w:val="00FD175F"/>
    <w:rsid w:val="00FD1871"/>
    <w:rsid w:val="00FD1BEA"/>
    <w:rsid w:val="00FD1E19"/>
    <w:rsid w:val="00FD1E8C"/>
    <w:rsid w:val="00FD2058"/>
    <w:rsid w:val="00FD2250"/>
    <w:rsid w:val="00FD2D1D"/>
    <w:rsid w:val="00FD2E44"/>
    <w:rsid w:val="00FD2E9B"/>
    <w:rsid w:val="00FD2F7B"/>
    <w:rsid w:val="00FD3208"/>
    <w:rsid w:val="00FD371C"/>
    <w:rsid w:val="00FD375E"/>
    <w:rsid w:val="00FD3904"/>
    <w:rsid w:val="00FD394F"/>
    <w:rsid w:val="00FD3D4D"/>
    <w:rsid w:val="00FD41CB"/>
    <w:rsid w:val="00FD42E9"/>
    <w:rsid w:val="00FD4589"/>
    <w:rsid w:val="00FD46E2"/>
    <w:rsid w:val="00FD49D3"/>
    <w:rsid w:val="00FD4A93"/>
    <w:rsid w:val="00FD4AE1"/>
    <w:rsid w:val="00FD4BF6"/>
    <w:rsid w:val="00FD4EE8"/>
    <w:rsid w:val="00FD536C"/>
    <w:rsid w:val="00FD5584"/>
    <w:rsid w:val="00FD5954"/>
    <w:rsid w:val="00FD6035"/>
    <w:rsid w:val="00FD6047"/>
    <w:rsid w:val="00FD6707"/>
    <w:rsid w:val="00FD6742"/>
    <w:rsid w:val="00FD6925"/>
    <w:rsid w:val="00FD6AB5"/>
    <w:rsid w:val="00FD6F06"/>
    <w:rsid w:val="00FD716A"/>
    <w:rsid w:val="00FD7408"/>
    <w:rsid w:val="00FD7721"/>
    <w:rsid w:val="00FD7992"/>
    <w:rsid w:val="00FD7E03"/>
    <w:rsid w:val="00FD7F8A"/>
    <w:rsid w:val="00FE0A4A"/>
    <w:rsid w:val="00FE0BED"/>
    <w:rsid w:val="00FE1207"/>
    <w:rsid w:val="00FE1361"/>
    <w:rsid w:val="00FE1776"/>
    <w:rsid w:val="00FE1EDB"/>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6B70"/>
    <w:rsid w:val="00FE6E1C"/>
    <w:rsid w:val="00FE7201"/>
    <w:rsid w:val="00FE76CA"/>
    <w:rsid w:val="00FE76E9"/>
    <w:rsid w:val="00FE7732"/>
    <w:rsid w:val="00FE7BB5"/>
    <w:rsid w:val="00FE7E7F"/>
    <w:rsid w:val="00FF02B0"/>
    <w:rsid w:val="00FF07D1"/>
    <w:rsid w:val="00FF099D"/>
    <w:rsid w:val="00FF0B60"/>
    <w:rsid w:val="00FF0C56"/>
    <w:rsid w:val="00FF0D84"/>
    <w:rsid w:val="00FF1449"/>
    <w:rsid w:val="00FF18E5"/>
    <w:rsid w:val="00FF1902"/>
    <w:rsid w:val="00FF1A06"/>
    <w:rsid w:val="00FF1B2E"/>
    <w:rsid w:val="00FF1CC0"/>
    <w:rsid w:val="00FF1DB1"/>
    <w:rsid w:val="00FF1E21"/>
    <w:rsid w:val="00FF1EC2"/>
    <w:rsid w:val="00FF22B5"/>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F1"/>
    <w:rsid w:val="00FF4A99"/>
    <w:rsid w:val="00FF4AA2"/>
    <w:rsid w:val="00FF4D2C"/>
    <w:rsid w:val="00FF52C0"/>
    <w:rsid w:val="00FF53BD"/>
    <w:rsid w:val="00FF5568"/>
    <w:rsid w:val="00FF57CD"/>
    <w:rsid w:val="00FF57FD"/>
    <w:rsid w:val="00FF590F"/>
    <w:rsid w:val="00FF5C29"/>
    <w:rsid w:val="00FF5E2E"/>
    <w:rsid w:val="00FF60B5"/>
    <w:rsid w:val="00FF6457"/>
    <w:rsid w:val="00FF685D"/>
    <w:rsid w:val="00FF68CE"/>
    <w:rsid w:val="00FF6AF6"/>
    <w:rsid w:val="00FF6C9B"/>
    <w:rsid w:val="00FF7175"/>
    <w:rsid w:val="00FF73CA"/>
    <w:rsid w:val="00FF7567"/>
    <w:rsid w:val="00FF75CB"/>
    <w:rsid w:val="00FF77BD"/>
    <w:rsid w:val="00FF77D2"/>
    <w:rsid w:val="00FF795D"/>
    <w:rsid w:val="00FF7AB6"/>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4E0812"/>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9AA21"/>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96748"/>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AE747E"/>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6360A0"/>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4D0B5"/>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7D90E0"/>
    <w:rsid w:val="2B859A8B"/>
    <w:rsid w:val="2B8BAA27"/>
    <w:rsid w:val="2B91102A"/>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7A39"/>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B9A95"/>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985C7"/>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8FCB05D"/>
    <w:rsid w:val="5900088A"/>
    <w:rsid w:val="59049630"/>
    <w:rsid w:val="59160336"/>
    <w:rsid w:val="591EFB0A"/>
    <w:rsid w:val="594C1840"/>
    <w:rsid w:val="594CA0DD"/>
    <w:rsid w:val="59549F1D"/>
    <w:rsid w:val="5965F035"/>
    <w:rsid w:val="5966E737"/>
    <w:rsid w:val="5976B5D2"/>
    <w:rsid w:val="598BE2E3"/>
    <w:rsid w:val="59975716"/>
    <w:rsid w:val="59983701"/>
    <w:rsid w:val="5998F4C8"/>
    <w:rsid w:val="599D24C1"/>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AFFCC0A"/>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87C03"/>
    <w:rsid w:val="650D3B40"/>
    <w:rsid w:val="6523CA94"/>
    <w:rsid w:val="652C2CBB"/>
    <w:rsid w:val="653A6CBB"/>
    <w:rsid w:val="653D456F"/>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703EFF"/>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61F2D"/>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8D826"/>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3E83B"/>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1D1BC411-F97E-4C63-BF6E-D0AD4E75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8F"/>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 w:type="table" w:customStyle="1" w:styleId="TableGrid2">
    <w:name w:val="Table Grid2"/>
    <w:basedOn w:val="TableNormal"/>
    <w:next w:val="TableGrid"/>
    <w:uiPriority w:val="39"/>
    <w:rsid w:val="00B8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86C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86567691">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40053694" TargetMode="External"/><Relationship Id="rId18" Type="http://schemas.openxmlformats.org/officeDocument/2006/relationships/hyperlink" Target="https://www.ema.europa.eu/documents/outside-eu-product-information/dapivirine-vaginal-ring-25-mg-product-information_en-0.pdf" TargetMode="External"/><Relationship Id="rId26" Type="http://schemas.openxmlformats.org/officeDocument/2006/relationships/image" Target="media/image8.png"/><Relationship Id="rId21" Type="http://schemas.openxmlformats.org/officeDocument/2006/relationships/footer" Target="footer2.xml"/><Relationship Id="rId34" Type="http://schemas.openxmlformats.org/officeDocument/2006/relationships/hyperlink" Target="https://journals.lww.com/md-journal/Fulltext/2022/02040/Clinical_signs_and_symptoms_associated_with_acute.14.aspx" TargetMode="External"/><Relationship Id="rId7" Type="http://schemas.openxmlformats.org/officeDocument/2006/relationships/settings" Target="settings.xml"/><Relationship Id="rId12" Type="http://schemas.openxmlformats.org/officeDocument/2006/relationships/hyperlink" Target="https://www.tga.gov.au/sites/default/files/2022-12/auspar-apretude-221123-pi.pdf" TargetMode="External"/><Relationship Id="rId17" Type="http://schemas.openxmlformats.org/officeDocument/2006/relationships/hyperlink" Target="https://www.who.int/publications/i/item/9789240031593" TargetMode="External"/><Relationship Id="rId25" Type="http://schemas.openxmlformats.org/officeDocument/2006/relationships/image" Target="media/image7.png"/><Relationship Id="rId33" Type="http://schemas.openxmlformats.org/officeDocument/2006/relationships/image" Target="media/image13.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accessdata.fda.gov/drugsatfda_docs/label/2021/215499s000lbl.pdf" TargetMode="External"/><Relationship Id="rId20" Type="http://schemas.openxmlformats.org/officeDocument/2006/relationships/footer" Target="foot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tools/prep-implementation-tool" TargetMode="External"/><Relationship Id="rId24" Type="http://schemas.openxmlformats.org/officeDocument/2006/relationships/image" Target="media/image6.png"/><Relationship Id="rId32" Type="http://schemas.openxmlformats.org/officeDocument/2006/relationships/hyperlink" Target="https://journals.lww.com/md-journal/Fulltext/2022/02040/Clinical_signs_and_symptoms_associated_with_acute.14.asp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ho.int/publications/i/item/978924005239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ho.int/publications/i/item/9789240022232"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publications-detail-redirect/9789240054097"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prepwatch.org/resources/global-acute-hiv-infection-algorithm-job-aids-for-providers/" TargetMode="External"/><Relationship Id="rId35" Type="http://schemas.openxmlformats.org/officeDocument/2006/relationships/hyperlink" Target="https://www.prepwatch.org/resources/sop-job-aid-ipv-prep-servic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who.int/publications/i/item/9789240095137" TargetMode="External"/><Relationship Id="rId3" Type="http://schemas.openxmlformats.org/officeDocument/2006/relationships/hyperlink" Target="https://www.who.int/publications/i/item/9789240097230" TargetMode="External"/><Relationship Id="rId7" Type="http://schemas.openxmlformats.org/officeDocument/2006/relationships/hyperlink" Target="https://programme.aids2022.org/Abstract/Abstract/?abstractid=12707" TargetMode="External"/><Relationship Id="rId2" Type="http://schemas.openxmlformats.org/officeDocument/2006/relationships/hyperlink" Target="https://www.who.int/publications/i/item/9789240052390" TargetMode="External"/><Relationship Id="rId1" Type="http://schemas.openxmlformats.org/officeDocument/2006/relationships/hyperlink" Target="https://doi.org/10.1007/s11904-024-00704-1" TargetMode="External"/><Relationship Id="rId6" Type="http://schemas.openxmlformats.org/officeDocument/2006/relationships/hyperlink" Target="https://programme.aids2022.org/Abstract/Abstract/?abstractid=12893" TargetMode="External"/><Relationship Id="rId11" Type="http://schemas.openxmlformats.org/officeDocument/2006/relationships/hyperlink" Target="https://www.who.int/publications/i/item/9789240057425" TargetMode="External"/><Relationship Id="rId5" Type="http://schemas.openxmlformats.org/officeDocument/2006/relationships/hyperlink" Target="https://www.croiconference.org/wp-content/uploads/sites/2/posters/2023/CROI_2023_MTN043_poster_2023-02-10-133209613532694120.pdf" TargetMode="External"/><Relationship Id="rId10" Type="http://schemas.openxmlformats.org/officeDocument/2006/relationships/hyperlink" Target="https://programme.aids2024.org/Abstract/Abstract/?abstractid=12032" TargetMode="External"/><Relationship Id="rId4" Type="http://schemas.openxmlformats.org/officeDocument/2006/relationships/hyperlink" Target="https://www.who.int/publications/i/item/WHO-CDS-HIV-18.22" TargetMode="External"/><Relationship Id="rId9" Type="http://schemas.openxmlformats.org/officeDocument/2006/relationships/hyperlink" Target="https://programme.aids2024.org/Abstract/Abstract/?abstractid=12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865d82a-bf83-4eaa-817a-e97c662b7d46" xsi:nil="true"/>
    <lcf76f155ced4ddcb4097134ff3c332f xmlns="1865d82a-bf83-4eaa-817a-e97c662b7d46">
      <Terms xmlns="http://schemas.microsoft.com/office/infopath/2007/PartnerControls"/>
    </lcf76f155ced4ddcb4097134ff3c332f>
    <TaxCatchAll xmlns="d35616bd-f3ab-4ee4-8f55-73cb5167d911" xsi:nil="true"/>
    <SharedWithUsers xmlns="d35616bd-f3ab-4ee4-8f55-73cb5167d911">
      <UserInfo>
        <DisplayName>Ashley Mayo</DisplayName>
        <AccountId>144</AccountId>
        <AccountType/>
      </UserInfo>
      <UserInfo>
        <DisplayName>Tara McClure</DisplayName>
        <AccountId>30</AccountId>
        <AccountType/>
      </UserInfo>
      <UserInfo>
        <DisplayName>Morgan Garcia</DisplayName>
        <AccountId>20</AccountId>
        <AccountType/>
      </UserInfo>
    </SharedWithUsers>
    <Open_x0020_with_x0020_Seclore xmlns="1865d82a-bf83-4eaa-817a-e97c662b7d46" xsi:nil="true"/>
    <NotesonUse xmlns="1865d82a-bf83-4eaa-817a-e97c662b7d4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2" ma:contentTypeDescription="Create a new document." ma:contentTypeScope="" ma:versionID="94afe1f3169ec5f8dfcc67b179ec9c78">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74b77f497480b4256a0773170f83c1b9"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otesonUse"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onUse" ma:index="26" nillable="true" ma:displayName="Notes on Use" ma:format="Dropdown" ma:internalName="NotesonUse">
      <xsd:simpleType>
        <xsd:restriction base="dms:Note">
          <xsd:maxLength value="255"/>
        </xsd:restriction>
      </xsd:simpleType>
    </xsd:element>
    <xsd:element name="Open_x0020_with_x0020_Seclore" ma:index="27"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7C6A8-9C06-4FAD-8FE0-F42CDCA23ADB}">
  <ds:schemaRefs>
    <ds:schemaRef ds:uri="http://schemas.microsoft.com/office/2006/metadata/properties"/>
    <ds:schemaRef ds:uri="http://schemas.microsoft.com/office/infopath/2007/PartnerControls"/>
    <ds:schemaRef ds:uri="1865d82a-bf83-4eaa-817a-e97c662b7d46"/>
    <ds:schemaRef ds:uri="d35616bd-f3ab-4ee4-8f55-73cb5167d911"/>
  </ds:schemaRefs>
</ds:datastoreItem>
</file>

<file path=customXml/itemProps2.xml><?xml version="1.0" encoding="utf-8"?>
<ds:datastoreItem xmlns:ds="http://schemas.openxmlformats.org/officeDocument/2006/customXml" ds:itemID="{78C49DE0-B9D3-42E1-8E72-A8A5D9FB6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B5289-3E57-43E6-A581-640CA01756DA}">
  <ds:schemaRefs>
    <ds:schemaRef ds:uri="http://schemas.microsoft.com/sharepoint/v3/contenttype/forms"/>
  </ds:schemaRefs>
</ds:datastoreItem>
</file>

<file path=customXml/itemProps4.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18909</Words>
  <Characters>107787</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Obermeyer</dc:creator>
  <cp:keywords/>
  <dc:description/>
  <cp:lastModifiedBy>Katie Williams</cp:lastModifiedBy>
  <cp:revision>2</cp:revision>
  <cp:lastPrinted>2022-04-02T13:50:00Z</cp:lastPrinted>
  <dcterms:created xsi:type="dcterms:W3CDTF">2024-11-20T14:59:00Z</dcterms:created>
  <dcterms:modified xsi:type="dcterms:W3CDTF">2024-11-20T14:59:00Z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