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61FF9F64"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BE0CBB">
        <w:rPr>
          <w:rFonts w:cstheme="minorHAnsi"/>
          <w:color w:val="10394B"/>
          <w:sz w:val="32"/>
          <w:szCs w:val="72"/>
        </w:rPr>
        <w:t>5</w:t>
      </w:r>
      <w:r w:rsidRPr="00322175">
        <w:rPr>
          <w:rFonts w:cstheme="minorHAnsi"/>
          <w:color w:val="10394B"/>
          <w:sz w:val="32"/>
          <w:szCs w:val="72"/>
        </w:rPr>
        <w:t xml:space="preserve">: </w:t>
      </w:r>
      <w:r w:rsidR="00BE0CBB">
        <w:rPr>
          <w:rFonts w:cstheme="minorHAnsi"/>
          <w:color w:val="10394B"/>
          <w:sz w:val="32"/>
          <w:szCs w:val="72"/>
        </w:rPr>
        <w:t>Tips for Conducting a Risk Assessment</w:t>
      </w:r>
    </w:p>
    <w:p w14:paraId="0D6A5AC8" w14:textId="77777777" w:rsidR="00BE0CBB" w:rsidRDefault="00BE0CBB" w:rsidP="00BE0CBB">
      <w:pPr>
        <w:contextualSpacing/>
        <w:rPr>
          <w:rFonts w:cstheme="minorHAnsi"/>
          <w:b/>
          <w:sz w:val="22"/>
          <w:szCs w:val="22"/>
        </w:rPr>
      </w:pPr>
      <w:bookmarkStart w:id="0" w:name="_Hlk521401795"/>
    </w:p>
    <w:p w14:paraId="33E3230C" w14:textId="78DB3AC4" w:rsidR="00BE0CBB" w:rsidRPr="003854E3" w:rsidRDefault="00BE0CBB" w:rsidP="00BE0CBB">
      <w:pPr>
        <w:contextualSpacing/>
        <w:rPr>
          <w:rFonts w:cstheme="minorHAnsi"/>
          <w:b/>
          <w:sz w:val="22"/>
          <w:szCs w:val="22"/>
        </w:rPr>
      </w:pPr>
      <w:r w:rsidRPr="003854E3">
        <w:rPr>
          <w:rFonts w:cstheme="minorHAnsi"/>
          <w:b/>
          <w:sz w:val="22"/>
          <w:szCs w:val="22"/>
        </w:rPr>
        <w:t>Begin by assuring confidentiality</w:t>
      </w:r>
    </w:p>
    <w:p w14:paraId="2BC449A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For a risk assessment to be effective, the client must feel safe. </w:t>
      </w:r>
    </w:p>
    <w:p w14:paraId="244A00F5"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 xml:space="preserve">Remember that your client is more likely to open up after you assure her that confidentiality will be maintained. </w:t>
      </w:r>
    </w:p>
    <w:p w14:paraId="46136B74" w14:textId="77777777" w:rsidR="00BE0CBB" w:rsidRPr="003854E3" w:rsidRDefault="00BE0CBB" w:rsidP="00BE0CBB">
      <w:pPr>
        <w:pStyle w:val="ListParagraph"/>
        <w:numPr>
          <w:ilvl w:val="0"/>
          <w:numId w:val="35"/>
        </w:numPr>
        <w:rPr>
          <w:rFonts w:cstheme="minorHAnsi"/>
          <w:sz w:val="22"/>
          <w:szCs w:val="22"/>
        </w:rPr>
      </w:pPr>
      <w:r w:rsidRPr="003854E3">
        <w:rPr>
          <w:rFonts w:cstheme="minorHAnsi"/>
          <w:sz w:val="22"/>
          <w:szCs w:val="22"/>
        </w:rPr>
        <w:t>You can begin your conversation by saying phrases like:</w:t>
      </w:r>
    </w:p>
    <w:p w14:paraId="720E20AC"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“Everything you say will remain between you and me.”</w:t>
      </w:r>
    </w:p>
    <w:p w14:paraId="23085707"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 xml:space="preserve"> “You have a right to privacy and confidentiality that I will respect.”</w:t>
      </w:r>
    </w:p>
    <w:p w14:paraId="11FF7ACB" w14:textId="77777777" w:rsidR="00BE0CBB" w:rsidRPr="003854E3" w:rsidRDefault="00BE0CBB" w:rsidP="00BE0CBB">
      <w:pPr>
        <w:pStyle w:val="ListParagraph"/>
        <w:numPr>
          <w:ilvl w:val="1"/>
          <w:numId w:val="35"/>
        </w:numPr>
        <w:rPr>
          <w:rFonts w:cstheme="minorHAnsi"/>
          <w:sz w:val="22"/>
          <w:szCs w:val="22"/>
        </w:rPr>
      </w:pPr>
      <w:r w:rsidRPr="003854E3">
        <w:rPr>
          <w:rFonts w:cstheme="minorHAnsi"/>
          <w:sz w:val="22"/>
          <w:szCs w:val="22"/>
        </w:rPr>
        <w:t>“It is my ethical and legal obligation as a health care provider to protect your privacy.”</w:t>
      </w:r>
    </w:p>
    <w:p w14:paraId="111669A8" w14:textId="77777777" w:rsidR="00BE0CBB" w:rsidRPr="003854E3" w:rsidRDefault="00BE0CBB" w:rsidP="00BE0CBB">
      <w:pPr>
        <w:pStyle w:val="ListParagraph"/>
        <w:rPr>
          <w:rFonts w:cstheme="minorHAnsi"/>
          <w:sz w:val="22"/>
          <w:szCs w:val="22"/>
        </w:rPr>
      </w:pPr>
    </w:p>
    <w:p w14:paraId="23E01671"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Convey the routine nature of risk assessments</w:t>
      </w:r>
    </w:p>
    <w:p w14:paraId="66C9C0A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Use language that </w:t>
      </w:r>
      <w:proofErr w:type="spellStart"/>
      <w:r w:rsidRPr="003854E3">
        <w:rPr>
          <w:rFonts w:cstheme="minorHAnsi"/>
          <w:sz w:val="22"/>
          <w:szCs w:val="22"/>
        </w:rPr>
        <w:t>emphasises</w:t>
      </w:r>
      <w:proofErr w:type="spellEnd"/>
      <w:r w:rsidRPr="003854E3">
        <w:rPr>
          <w:rFonts w:cstheme="minorHAnsi"/>
          <w:sz w:val="22"/>
          <w:szCs w:val="22"/>
        </w:rPr>
        <w:t xml:space="preserve"> that this type of discussion happens with all clients. </w:t>
      </w:r>
    </w:p>
    <w:p w14:paraId="64F1553B"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 xml:space="preserve">It is important that your client does not feel like she is being singled out. </w:t>
      </w:r>
    </w:p>
    <w:p w14:paraId="195FB4F8" w14:textId="77777777" w:rsidR="00BE0CBB" w:rsidRPr="003854E3" w:rsidRDefault="00BE0CBB" w:rsidP="00BE0CBB">
      <w:pPr>
        <w:pStyle w:val="ListParagraph"/>
        <w:numPr>
          <w:ilvl w:val="0"/>
          <w:numId w:val="36"/>
        </w:numPr>
        <w:rPr>
          <w:rFonts w:cstheme="minorHAnsi"/>
          <w:sz w:val="22"/>
          <w:szCs w:val="22"/>
        </w:rPr>
      </w:pPr>
      <w:r w:rsidRPr="003854E3">
        <w:rPr>
          <w:rFonts w:cstheme="minorHAnsi"/>
          <w:sz w:val="22"/>
          <w:szCs w:val="22"/>
        </w:rPr>
        <w:t>Consider phrases like:</w:t>
      </w:r>
    </w:p>
    <w:p w14:paraId="07AE3D3A"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“I’m going to ask you some questions that I ask all my clients, because they have a big effect on people’s health.”</w:t>
      </w:r>
    </w:p>
    <w:p w14:paraId="426F9736"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 following topics are standard.”</w:t>
      </w:r>
    </w:p>
    <w:p w14:paraId="4E08D4D9" w14:textId="77777777" w:rsidR="00BE0CBB" w:rsidRPr="003854E3" w:rsidRDefault="00BE0CBB" w:rsidP="00BE0CBB">
      <w:pPr>
        <w:pStyle w:val="ListParagraph"/>
        <w:numPr>
          <w:ilvl w:val="1"/>
          <w:numId w:val="36"/>
        </w:numPr>
        <w:rPr>
          <w:rFonts w:cstheme="minorHAnsi"/>
          <w:sz w:val="22"/>
          <w:szCs w:val="22"/>
        </w:rPr>
      </w:pPr>
      <w:r w:rsidRPr="003854E3">
        <w:rPr>
          <w:rFonts w:cstheme="minorHAnsi"/>
          <w:sz w:val="22"/>
          <w:szCs w:val="22"/>
        </w:rPr>
        <w:t>“These topics are discussed with all clients.”</w:t>
      </w:r>
    </w:p>
    <w:p w14:paraId="43DA67B1" w14:textId="77777777" w:rsidR="00BE0CBB" w:rsidRPr="003854E3" w:rsidRDefault="00BE0CBB" w:rsidP="00BE0CBB">
      <w:pPr>
        <w:rPr>
          <w:rFonts w:cstheme="minorHAnsi"/>
          <w:sz w:val="22"/>
          <w:szCs w:val="22"/>
        </w:rPr>
      </w:pPr>
    </w:p>
    <w:p w14:paraId="2CC8C97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Acknowledge that personal and sensitive information will be assessed</w:t>
      </w:r>
    </w:p>
    <w:p w14:paraId="2DE6B899"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Giving the client an introductory notice that you are about to talk about personal topics will help prepare her and may result in her being more open.</w:t>
      </w:r>
    </w:p>
    <w:p w14:paraId="0744868C" w14:textId="77777777" w:rsidR="00BE0CBB" w:rsidRPr="003854E3" w:rsidRDefault="00BE0CBB" w:rsidP="00BE0CBB">
      <w:pPr>
        <w:pStyle w:val="ListParagraph"/>
        <w:numPr>
          <w:ilvl w:val="0"/>
          <w:numId w:val="37"/>
        </w:numPr>
        <w:rPr>
          <w:rFonts w:cstheme="minorHAnsi"/>
          <w:sz w:val="22"/>
          <w:szCs w:val="22"/>
        </w:rPr>
      </w:pPr>
      <w:r w:rsidRPr="003854E3">
        <w:rPr>
          <w:rFonts w:cstheme="minorHAnsi"/>
          <w:sz w:val="22"/>
          <w:szCs w:val="22"/>
        </w:rPr>
        <w:t xml:space="preserve">Consider phrases like: </w:t>
      </w:r>
    </w:p>
    <w:p w14:paraId="6AEA6ED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“I’m going to ask you about some personal topics. I talk to all my clients about these topics because they affect your health. Many people find it hard to discuss these issues at first.”</w:t>
      </w:r>
    </w:p>
    <w:p w14:paraId="3EAB20F9"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“The next set of questions cover sensitive information, but they are routinely discussed with all clients at this clinic.”</w:t>
      </w:r>
    </w:p>
    <w:p w14:paraId="461CB577" w14:textId="77777777" w:rsidR="00BE0CBB" w:rsidRPr="003854E3" w:rsidRDefault="00BE0CBB" w:rsidP="00BE0CBB">
      <w:pPr>
        <w:pStyle w:val="ListParagraph"/>
        <w:numPr>
          <w:ilvl w:val="1"/>
          <w:numId w:val="37"/>
        </w:numPr>
        <w:rPr>
          <w:rFonts w:cstheme="minorHAnsi"/>
          <w:sz w:val="22"/>
          <w:szCs w:val="22"/>
        </w:rPr>
      </w:pPr>
      <w:r w:rsidRPr="003854E3">
        <w:rPr>
          <w:rFonts w:cstheme="minorHAnsi"/>
          <w:sz w:val="22"/>
          <w:szCs w:val="22"/>
        </w:rPr>
        <w:t>“It may be uncomfortable to discuss some of these topics at first. I talk to all my clients about these issues and am able to provide the best care to those who are open.”</w:t>
      </w:r>
    </w:p>
    <w:p w14:paraId="566A7B3C" w14:textId="77777777" w:rsidR="00BE0CBB" w:rsidRPr="003854E3" w:rsidRDefault="00BE0CBB" w:rsidP="00BE0CBB">
      <w:pPr>
        <w:pStyle w:val="ListParagraph"/>
        <w:ind w:left="2160"/>
        <w:rPr>
          <w:rFonts w:cstheme="minorHAnsi"/>
          <w:sz w:val="22"/>
          <w:szCs w:val="22"/>
        </w:rPr>
      </w:pPr>
    </w:p>
    <w:p w14:paraId="4E0680F1" w14:textId="77777777" w:rsidR="00BE0CBB" w:rsidRPr="003854E3" w:rsidRDefault="00BE0CBB" w:rsidP="00BE0CBB">
      <w:pPr>
        <w:tabs>
          <w:tab w:val="num" w:pos="1410"/>
        </w:tabs>
        <w:rPr>
          <w:rFonts w:cstheme="minorHAnsi"/>
          <w:b/>
          <w:sz w:val="22"/>
          <w:szCs w:val="22"/>
        </w:rPr>
      </w:pPr>
      <w:r w:rsidRPr="003854E3">
        <w:rPr>
          <w:rFonts w:cstheme="minorHAnsi"/>
          <w:b/>
          <w:sz w:val="22"/>
          <w:szCs w:val="22"/>
        </w:rPr>
        <w:t>Use exploratory questions and open-ended questions</w:t>
      </w:r>
    </w:p>
    <w:p w14:paraId="6A8D76B7"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Questions that start with “what” or “how” are particularly useful.</w:t>
      </w:r>
    </w:p>
    <w:p w14:paraId="50102A2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Phrases like “tell me about” or “it would be helpful to know about” are also useful.</w:t>
      </w:r>
    </w:p>
    <w:p w14:paraId="172E6560"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These types of questions are better for engaging clients in conversation than are questions they could answer with a simple “yes” or “no.”</w:t>
      </w:r>
    </w:p>
    <w:p w14:paraId="69F3DEBA"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Open-ended questions allow clients to explore their risks and needs, open up, and speak freely about their experiences.</w:t>
      </w:r>
    </w:p>
    <w:p w14:paraId="4BB47104" w14:textId="77777777" w:rsidR="00BE0CBB" w:rsidRPr="003854E3" w:rsidRDefault="00BE0CBB" w:rsidP="00BE0CBB">
      <w:pPr>
        <w:pStyle w:val="ListParagraph"/>
        <w:numPr>
          <w:ilvl w:val="0"/>
          <w:numId w:val="38"/>
        </w:numPr>
        <w:ind w:left="360"/>
        <w:rPr>
          <w:rFonts w:cstheme="minorHAnsi"/>
          <w:sz w:val="22"/>
          <w:szCs w:val="22"/>
        </w:rPr>
      </w:pPr>
      <w:r w:rsidRPr="003854E3">
        <w:rPr>
          <w:rFonts w:cstheme="minorHAnsi"/>
          <w:sz w:val="22"/>
          <w:szCs w:val="22"/>
        </w:rPr>
        <w:t>Follow the five-second rule: Wait at least five seconds after asking a question before speaking again. Give clients time to respond.</w:t>
      </w:r>
    </w:p>
    <w:p w14:paraId="6460926C" w14:textId="77777777" w:rsidR="00BE0CBB" w:rsidRPr="003854E3" w:rsidRDefault="00BE0CBB" w:rsidP="00BE0CBB">
      <w:pPr>
        <w:rPr>
          <w:rFonts w:cstheme="minorHAnsi"/>
          <w:sz w:val="22"/>
          <w:szCs w:val="22"/>
        </w:rPr>
      </w:pPr>
    </w:p>
    <w:p w14:paraId="67DE2F9E" w14:textId="77777777" w:rsidR="00BE0CBB" w:rsidRPr="003854E3" w:rsidRDefault="00BE0CBB" w:rsidP="00BE0CBB">
      <w:pPr>
        <w:tabs>
          <w:tab w:val="num" w:pos="1410"/>
        </w:tabs>
        <w:contextualSpacing/>
        <w:rPr>
          <w:rFonts w:cstheme="minorHAnsi"/>
          <w:b/>
          <w:sz w:val="22"/>
          <w:szCs w:val="22"/>
        </w:rPr>
      </w:pPr>
      <w:r w:rsidRPr="003854E3">
        <w:rPr>
          <w:rFonts w:cstheme="minorHAnsi"/>
          <w:b/>
          <w:sz w:val="22"/>
          <w:szCs w:val="22"/>
        </w:rPr>
        <w:t>Go from general questions to specific ones</w:t>
      </w:r>
    </w:p>
    <w:p w14:paraId="51D5C04D"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This is the most common way to arrange questions when getting to know a client.</w:t>
      </w:r>
    </w:p>
    <w:p w14:paraId="103F2623"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t>It is helpful to imagine a funnel (see figure below).</w:t>
      </w:r>
    </w:p>
    <w:p w14:paraId="61A6D039" w14:textId="77777777" w:rsidR="00BE0CBB" w:rsidRPr="003854E3" w:rsidRDefault="00BE0CBB" w:rsidP="00BE0CBB">
      <w:pPr>
        <w:pStyle w:val="ListParagraph"/>
        <w:numPr>
          <w:ilvl w:val="0"/>
          <w:numId w:val="39"/>
        </w:numPr>
        <w:rPr>
          <w:rFonts w:cstheme="minorHAnsi"/>
          <w:sz w:val="22"/>
          <w:szCs w:val="22"/>
        </w:rPr>
      </w:pPr>
      <w:r w:rsidRPr="003854E3">
        <w:rPr>
          <w:rFonts w:cstheme="minorHAnsi"/>
          <w:sz w:val="22"/>
          <w:szCs w:val="22"/>
        </w:rPr>
        <w:lastRenderedPageBreak/>
        <w:t>Use the funnel to think about asking clients about sexual risk and behaviors.</w:t>
      </w:r>
    </w:p>
    <w:p w14:paraId="578F0DCC" w14:textId="77777777" w:rsidR="00BE0CBB" w:rsidRPr="003854E3" w:rsidRDefault="00BE0CBB" w:rsidP="00BE0CBB">
      <w:pPr>
        <w:contextualSpacing/>
        <w:rPr>
          <w:rFonts w:cstheme="minorHAnsi"/>
          <w:sz w:val="22"/>
          <w:szCs w:val="22"/>
        </w:rPr>
      </w:pPr>
    </w:p>
    <w:p w14:paraId="261124F3" w14:textId="77777777" w:rsidR="00BE0CBB" w:rsidRPr="003854E3" w:rsidRDefault="00BE0CBB" w:rsidP="00BE0CBB">
      <w:pPr>
        <w:spacing w:after="200"/>
        <w:contextualSpacing/>
        <w:rPr>
          <w:rFonts w:cstheme="minorHAnsi"/>
          <w:sz w:val="22"/>
          <w:szCs w:val="22"/>
        </w:rPr>
      </w:pPr>
      <w:r w:rsidRPr="003854E3">
        <w:rPr>
          <w:rFonts w:cstheme="minorHAnsi"/>
          <w:noProof/>
          <w:sz w:val="22"/>
          <w:szCs w:val="22"/>
          <w:lang w:val="en-ZA" w:eastAsia="en-ZA"/>
        </w:rPr>
        <w:drawing>
          <wp:anchor distT="0" distB="0" distL="114300" distR="114300" simplePos="0" relativeHeight="251658240" behindDoc="0" locked="0" layoutInCell="1" allowOverlap="1" wp14:anchorId="222B8B08" wp14:editId="7B8178B6">
            <wp:simplePos x="0" y="0"/>
            <wp:positionH relativeFrom="column">
              <wp:posOffset>657225</wp:posOffset>
            </wp:positionH>
            <wp:positionV relativeFrom="paragraph">
              <wp:posOffset>146050</wp:posOffset>
            </wp:positionV>
            <wp:extent cx="2458085" cy="2350770"/>
            <wp:effectExtent l="19050" t="38100" r="37465" b="49530"/>
            <wp:wrapTight wrapText="bothSides">
              <wp:wrapPolygon edited="0">
                <wp:start x="-167" y="-350"/>
                <wp:lineTo x="-167" y="175"/>
                <wp:lineTo x="5022" y="11203"/>
                <wp:lineTo x="7868" y="16804"/>
                <wp:lineTo x="7868" y="18204"/>
                <wp:lineTo x="8537" y="19605"/>
                <wp:lineTo x="8035" y="20305"/>
                <wp:lineTo x="10211" y="21880"/>
                <wp:lineTo x="11383" y="21880"/>
                <wp:lineTo x="12722" y="20480"/>
                <wp:lineTo x="13057" y="19780"/>
                <wp:lineTo x="12555" y="19605"/>
                <wp:lineTo x="13727" y="16979"/>
                <wp:lineTo x="21762" y="175"/>
                <wp:lineTo x="21762" y="-350"/>
                <wp:lineTo x="-167" y="-350"/>
              </wp:wrapPolygon>
            </wp:wrapTight>
            <wp:docPr id="2064" name="Diagram 20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7AC34FF2" w14:textId="77777777" w:rsidR="00BE0CBB" w:rsidRPr="003854E3" w:rsidRDefault="00BE0CBB" w:rsidP="00BE0CBB">
      <w:pPr>
        <w:spacing w:after="200"/>
        <w:contextualSpacing/>
        <w:rPr>
          <w:rFonts w:cstheme="minorHAnsi"/>
          <w:sz w:val="22"/>
          <w:szCs w:val="22"/>
        </w:rPr>
      </w:pPr>
    </w:p>
    <w:p w14:paraId="31DEF6AB" w14:textId="77777777" w:rsidR="00BE0CBB" w:rsidRPr="003854E3" w:rsidRDefault="00BE0CBB" w:rsidP="00BE0CBB">
      <w:pPr>
        <w:spacing w:after="200"/>
        <w:contextualSpacing/>
        <w:rPr>
          <w:rFonts w:cstheme="minorHAnsi"/>
          <w:sz w:val="22"/>
          <w:szCs w:val="22"/>
        </w:rPr>
      </w:pPr>
    </w:p>
    <w:p w14:paraId="51A9CC6C" w14:textId="77777777" w:rsidR="00BE0CBB" w:rsidRPr="003854E3" w:rsidRDefault="00BE0CBB" w:rsidP="00BE0CBB">
      <w:pPr>
        <w:spacing w:after="200"/>
        <w:contextualSpacing/>
        <w:rPr>
          <w:rFonts w:cstheme="minorHAnsi"/>
          <w:sz w:val="22"/>
          <w:szCs w:val="22"/>
        </w:rPr>
      </w:pPr>
    </w:p>
    <w:p w14:paraId="7A141DF4" w14:textId="77777777" w:rsidR="00BE0CBB" w:rsidRPr="003854E3" w:rsidRDefault="00BE0CBB" w:rsidP="00BE0CBB">
      <w:pPr>
        <w:spacing w:after="200"/>
        <w:contextualSpacing/>
        <w:rPr>
          <w:rFonts w:cstheme="minorHAnsi"/>
          <w:sz w:val="22"/>
          <w:szCs w:val="22"/>
        </w:rPr>
      </w:pPr>
    </w:p>
    <w:p w14:paraId="70CE07DC" w14:textId="77777777" w:rsidR="00BE0CBB" w:rsidRPr="003854E3" w:rsidRDefault="00BE0CBB" w:rsidP="00BE0CBB">
      <w:pPr>
        <w:spacing w:after="200"/>
        <w:contextualSpacing/>
        <w:rPr>
          <w:rFonts w:cstheme="minorHAnsi"/>
          <w:sz w:val="22"/>
          <w:szCs w:val="22"/>
        </w:rPr>
      </w:pPr>
    </w:p>
    <w:p w14:paraId="2B106441" w14:textId="77777777" w:rsidR="00BE0CBB" w:rsidRPr="003854E3" w:rsidRDefault="00BE0CBB" w:rsidP="00BE0CBB">
      <w:pPr>
        <w:spacing w:after="200"/>
        <w:contextualSpacing/>
        <w:rPr>
          <w:rFonts w:cstheme="minorHAnsi"/>
          <w:sz w:val="22"/>
          <w:szCs w:val="22"/>
        </w:rPr>
      </w:pPr>
    </w:p>
    <w:p w14:paraId="2EE2E9A8" w14:textId="77777777" w:rsidR="00BE0CBB" w:rsidRPr="003854E3" w:rsidRDefault="00BE0CBB" w:rsidP="00BE0CBB">
      <w:pPr>
        <w:spacing w:after="200"/>
        <w:contextualSpacing/>
        <w:rPr>
          <w:rFonts w:cstheme="minorHAnsi"/>
          <w:sz w:val="22"/>
          <w:szCs w:val="22"/>
        </w:rPr>
      </w:pPr>
    </w:p>
    <w:p w14:paraId="522A95EA" w14:textId="77777777" w:rsidR="00BE0CBB" w:rsidRPr="003854E3" w:rsidRDefault="00BE0CBB" w:rsidP="00BE0CBB">
      <w:pPr>
        <w:spacing w:after="200"/>
        <w:contextualSpacing/>
        <w:rPr>
          <w:rFonts w:cstheme="minorHAnsi"/>
          <w:sz w:val="22"/>
          <w:szCs w:val="22"/>
        </w:rPr>
      </w:pPr>
    </w:p>
    <w:p w14:paraId="46C62193" w14:textId="77777777" w:rsidR="00BE0CBB" w:rsidRPr="003854E3" w:rsidRDefault="00BE0CBB" w:rsidP="00BE0CBB">
      <w:pPr>
        <w:spacing w:after="200"/>
        <w:contextualSpacing/>
        <w:rPr>
          <w:rFonts w:cstheme="minorHAnsi"/>
          <w:sz w:val="22"/>
          <w:szCs w:val="22"/>
        </w:rPr>
      </w:pPr>
    </w:p>
    <w:p w14:paraId="3A02F000" w14:textId="77777777" w:rsidR="00BE0CBB" w:rsidRPr="003854E3" w:rsidRDefault="00BE0CBB" w:rsidP="00BE0CBB">
      <w:pPr>
        <w:spacing w:after="200"/>
        <w:contextualSpacing/>
        <w:rPr>
          <w:rFonts w:cstheme="minorHAnsi"/>
          <w:sz w:val="22"/>
          <w:szCs w:val="22"/>
        </w:rPr>
      </w:pPr>
    </w:p>
    <w:p w14:paraId="1DBE038C" w14:textId="77777777" w:rsidR="00BE0CBB" w:rsidRPr="003854E3" w:rsidRDefault="00BE0CBB" w:rsidP="00BE0CBB">
      <w:pPr>
        <w:spacing w:after="200"/>
        <w:contextualSpacing/>
        <w:rPr>
          <w:rFonts w:cstheme="minorHAnsi"/>
          <w:sz w:val="22"/>
          <w:szCs w:val="22"/>
        </w:rPr>
      </w:pPr>
    </w:p>
    <w:p w14:paraId="1D9AD9A5" w14:textId="77777777" w:rsidR="00BE0CBB" w:rsidRPr="003854E3" w:rsidRDefault="00BE0CBB" w:rsidP="00BE0CBB">
      <w:pPr>
        <w:pStyle w:val="ListParagraph"/>
        <w:spacing w:after="200"/>
        <w:ind w:left="1080"/>
        <w:rPr>
          <w:rFonts w:cstheme="minorHAnsi"/>
          <w:b/>
          <w:sz w:val="22"/>
          <w:szCs w:val="22"/>
        </w:rPr>
      </w:pPr>
    </w:p>
    <w:p w14:paraId="589C42DE" w14:textId="77777777" w:rsidR="00BE0CBB" w:rsidRPr="003854E3" w:rsidRDefault="00BE0CBB" w:rsidP="00BE0CBB">
      <w:pPr>
        <w:spacing w:after="200"/>
        <w:contextualSpacing/>
        <w:rPr>
          <w:rFonts w:cstheme="minorHAnsi"/>
          <w:b/>
          <w:sz w:val="22"/>
          <w:szCs w:val="22"/>
        </w:rPr>
      </w:pPr>
    </w:p>
    <w:p w14:paraId="7DBE13C3" w14:textId="77777777" w:rsidR="00BE0CBB" w:rsidRPr="003854E3" w:rsidRDefault="00BE0CBB" w:rsidP="00BE0CBB">
      <w:pPr>
        <w:spacing w:after="200"/>
        <w:contextualSpacing/>
        <w:rPr>
          <w:rFonts w:cstheme="minorHAnsi"/>
          <w:b/>
          <w:sz w:val="22"/>
          <w:szCs w:val="22"/>
        </w:rPr>
      </w:pPr>
    </w:p>
    <w:p w14:paraId="00092D3C" w14:textId="77777777" w:rsidR="00BE0CBB" w:rsidRPr="003854E3" w:rsidRDefault="00BE0CBB" w:rsidP="00BE0CBB">
      <w:pPr>
        <w:contextualSpacing/>
        <w:rPr>
          <w:rFonts w:cstheme="minorHAnsi"/>
          <w:b/>
          <w:sz w:val="22"/>
          <w:szCs w:val="22"/>
        </w:rPr>
      </w:pPr>
      <w:r w:rsidRPr="003854E3">
        <w:rPr>
          <w:rFonts w:cstheme="minorHAnsi"/>
          <w:b/>
          <w:sz w:val="22"/>
          <w:szCs w:val="22"/>
        </w:rPr>
        <w:t>Use the types of words the client is using</w:t>
      </w:r>
    </w:p>
    <w:p w14:paraId="7B1900FA"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This creates a stronger sense of understanding and connectedness.</w:t>
      </w:r>
    </w:p>
    <w:p w14:paraId="09478125" w14:textId="77777777" w:rsidR="00BE0CBB" w:rsidRPr="003854E3" w:rsidRDefault="00BE0CBB" w:rsidP="00BE0CBB">
      <w:pPr>
        <w:pStyle w:val="ListParagraph"/>
        <w:numPr>
          <w:ilvl w:val="0"/>
          <w:numId w:val="40"/>
        </w:numPr>
        <w:rPr>
          <w:rFonts w:cstheme="minorHAnsi"/>
          <w:sz w:val="22"/>
          <w:szCs w:val="22"/>
        </w:rPr>
      </w:pPr>
      <w:r w:rsidRPr="003854E3">
        <w:rPr>
          <w:rFonts w:cstheme="minorHAnsi"/>
          <w:sz w:val="22"/>
          <w:szCs w:val="22"/>
        </w:rPr>
        <w:t>Ask for clarification if you are unsure of a term or wording used by the client.</w:t>
      </w:r>
    </w:p>
    <w:p w14:paraId="17320F2F" w14:textId="77777777" w:rsidR="00BE0CBB" w:rsidRPr="003854E3" w:rsidRDefault="00BE0CBB" w:rsidP="00BE0CBB">
      <w:pPr>
        <w:pStyle w:val="ListParagraph"/>
        <w:rPr>
          <w:rFonts w:cstheme="minorHAnsi"/>
          <w:sz w:val="22"/>
          <w:szCs w:val="22"/>
        </w:rPr>
      </w:pPr>
    </w:p>
    <w:p w14:paraId="767D2E06" w14:textId="77777777" w:rsidR="00BE0CBB" w:rsidRPr="003854E3" w:rsidRDefault="00BE0CBB" w:rsidP="00BE0CBB">
      <w:pPr>
        <w:contextualSpacing/>
        <w:rPr>
          <w:rFonts w:cstheme="minorHAnsi"/>
          <w:b/>
          <w:sz w:val="22"/>
          <w:szCs w:val="22"/>
        </w:rPr>
      </w:pPr>
      <w:r w:rsidRPr="003854E3">
        <w:rPr>
          <w:rFonts w:cstheme="minorHAnsi"/>
          <w:b/>
          <w:sz w:val="22"/>
          <w:szCs w:val="22"/>
        </w:rPr>
        <w:t>Reinforce healthy behaviors</w:t>
      </w:r>
    </w:p>
    <w:p w14:paraId="3B5BA5F9" w14:textId="77777777" w:rsidR="00BE0CBB" w:rsidRPr="003854E3" w:rsidRDefault="00BE0CBB" w:rsidP="00BE0CBB">
      <w:pPr>
        <w:pStyle w:val="ListParagraph"/>
        <w:numPr>
          <w:ilvl w:val="0"/>
          <w:numId w:val="41"/>
        </w:numPr>
        <w:rPr>
          <w:rFonts w:cstheme="minorHAnsi"/>
          <w:sz w:val="22"/>
          <w:szCs w:val="22"/>
        </w:rPr>
      </w:pPr>
      <w:r w:rsidRPr="003854E3">
        <w:rPr>
          <w:rFonts w:cstheme="minorHAnsi"/>
          <w:sz w:val="22"/>
          <w:szCs w:val="22"/>
        </w:rPr>
        <w:t>Praise clients for positive steps they are taking to maintain or improve their health or to minimize their risk.</w:t>
      </w:r>
    </w:p>
    <w:p w14:paraId="45FB1CCB" w14:textId="77777777" w:rsidR="00BE0CBB" w:rsidRPr="003854E3" w:rsidRDefault="00BE0CBB" w:rsidP="00BE0CBB">
      <w:pPr>
        <w:rPr>
          <w:rFonts w:cstheme="minorHAnsi"/>
          <w:sz w:val="22"/>
          <w:szCs w:val="22"/>
        </w:rPr>
      </w:pPr>
    </w:p>
    <w:p w14:paraId="4D8C81B2" w14:textId="77777777" w:rsidR="00BE0CBB" w:rsidRPr="003854E3" w:rsidRDefault="00BE0CBB" w:rsidP="00BE0CBB">
      <w:pPr>
        <w:contextualSpacing/>
        <w:rPr>
          <w:rFonts w:cstheme="minorHAnsi"/>
          <w:b/>
          <w:sz w:val="22"/>
          <w:szCs w:val="22"/>
        </w:rPr>
      </w:pPr>
      <w:r w:rsidRPr="003854E3">
        <w:rPr>
          <w:rFonts w:cstheme="minorHAnsi"/>
          <w:b/>
          <w:sz w:val="22"/>
          <w:szCs w:val="22"/>
        </w:rPr>
        <w:t>Remain neutral when hearing sensitive information</w:t>
      </w:r>
    </w:p>
    <w:p w14:paraId="22585D5C"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Maintain neutral body language by:</w:t>
      </w:r>
    </w:p>
    <w:p w14:paraId="33026824"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Smiling or relaxing the mouth</w:t>
      </w:r>
    </w:p>
    <w:p w14:paraId="7E61FF1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Nodding</w:t>
      </w:r>
    </w:p>
    <w:p w14:paraId="108544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Relaxing the arms and legs</w:t>
      </w:r>
    </w:p>
    <w:p w14:paraId="63A175E8"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Making eye contact</w:t>
      </w:r>
    </w:p>
    <w:p w14:paraId="443520D8" w14:textId="77777777" w:rsidR="00BE0CBB" w:rsidRPr="003854E3" w:rsidRDefault="00BE0CBB" w:rsidP="00BE0CBB">
      <w:pPr>
        <w:pStyle w:val="ListParagraph"/>
        <w:numPr>
          <w:ilvl w:val="0"/>
          <w:numId w:val="42"/>
        </w:numPr>
        <w:rPr>
          <w:rFonts w:cstheme="minorHAnsi"/>
          <w:sz w:val="22"/>
          <w:szCs w:val="22"/>
        </w:rPr>
      </w:pPr>
      <w:r w:rsidRPr="003854E3">
        <w:rPr>
          <w:rFonts w:cstheme="minorHAnsi"/>
          <w:sz w:val="22"/>
          <w:szCs w:val="22"/>
        </w:rPr>
        <w:t>Avoid cold and</w:t>
      </w:r>
      <w:r w:rsidRPr="003854E3">
        <w:rPr>
          <w:rFonts w:cstheme="minorHAnsi"/>
          <w:sz w:val="22"/>
          <w:szCs w:val="22"/>
          <w:lang w:val="en-GB"/>
        </w:rPr>
        <w:t xml:space="preserve"> judgemental</w:t>
      </w:r>
      <w:r w:rsidRPr="003854E3">
        <w:rPr>
          <w:rFonts w:cstheme="minorHAnsi"/>
          <w:sz w:val="22"/>
          <w:szCs w:val="22"/>
        </w:rPr>
        <w:t xml:space="preserve"> body language such as:</w:t>
      </w:r>
    </w:p>
    <w:p w14:paraId="4539D6F6"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Looking away</w:t>
      </w:r>
    </w:p>
    <w:p w14:paraId="56F862B3"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Rolling eyes</w:t>
      </w:r>
    </w:p>
    <w:p w14:paraId="11EF43D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Crossing arms and legs</w:t>
      </w:r>
    </w:p>
    <w:p w14:paraId="230B897F" w14:textId="77777777" w:rsidR="00BE0CBB" w:rsidRPr="003854E3" w:rsidRDefault="00BE0CBB" w:rsidP="00BE0CBB">
      <w:pPr>
        <w:pStyle w:val="ListParagraph"/>
        <w:numPr>
          <w:ilvl w:val="1"/>
          <w:numId w:val="42"/>
        </w:numPr>
        <w:rPr>
          <w:rFonts w:cstheme="minorHAnsi"/>
          <w:sz w:val="22"/>
          <w:szCs w:val="22"/>
        </w:rPr>
      </w:pPr>
      <w:r w:rsidRPr="003854E3">
        <w:rPr>
          <w:rFonts w:cstheme="minorHAnsi"/>
          <w:sz w:val="22"/>
          <w:szCs w:val="22"/>
        </w:rPr>
        <w:t xml:space="preserve">Making strong gestures or sudden movements in response to a client </w:t>
      </w:r>
    </w:p>
    <w:p w14:paraId="0CA68B8E" w14:textId="77777777" w:rsidR="00BE0CBB" w:rsidRPr="003854E3" w:rsidRDefault="00BE0CBB" w:rsidP="00BE0CBB">
      <w:pPr>
        <w:pStyle w:val="ListParagraph"/>
        <w:spacing w:after="200"/>
        <w:ind w:left="1080"/>
        <w:rPr>
          <w:rFonts w:cstheme="minorHAnsi"/>
          <w:b/>
          <w:sz w:val="22"/>
          <w:szCs w:val="22"/>
        </w:rPr>
      </w:pPr>
    </w:p>
    <w:p w14:paraId="6C4485D3" w14:textId="77777777" w:rsidR="00BE0CBB" w:rsidRPr="003854E3" w:rsidRDefault="00BE0CBB" w:rsidP="00BE0CBB">
      <w:pPr>
        <w:spacing w:after="200"/>
        <w:contextualSpacing/>
        <w:rPr>
          <w:rFonts w:cstheme="minorHAnsi"/>
          <w:b/>
          <w:sz w:val="22"/>
          <w:szCs w:val="22"/>
        </w:rPr>
      </w:pPr>
      <w:r w:rsidRPr="003854E3">
        <w:rPr>
          <w:rFonts w:cstheme="minorHAnsi"/>
          <w:b/>
          <w:sz w:val="22"/>
          <w:szCs w:val="22"/>
        </w:rPr>
        <w:t>Focus on risk reduction</w:t>
      </w:r>
    </w:p>
    <w:p w14:paraId="1BCED52F"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After learning about a client, the next step is to help reduce her risk and improve her health.</w:t>
      </w:r>
    </w:p>
    <w:p w14:paraId="5B239A95" w14:textId="77777777" w:rsidR="0065294C" w:rsidRDefault="00DF4DCD" w:rsidP="00BE0CBB">
      <w:pPr>
        <w:pStyle w:val="ListParagraph"/>
        <w:numPr>
          <w:ilvl w:val="0"/>
          <w:numId w:val="43"/>
        </w:numPr>
        <w:rPr>
          <w:rFonts w:cstheme="minorHAnsi"/>
          <w:sz w:val="22"/>
          <w:szCs w:val="22"/>
        </w:rPr>
      </w:pPr>
      <w:r>
        <w:rPr>
          <w:rFonts w:cstheme="minorHAnsi"/>
          <w:sz w:val="22"/>
          <w:szCs w:val="22"/>
        </w:rPr>
        <w:t xml:space="preserve">Ask her if </w:t>
      </w:r>
      <w:r w:rsidR="0065294C">
        <w:rPr>
          <w:rFonts w:cstheme="minorHAnsi"/>
          <w:sz w:val="22"/>
          <w:szCs w:val="22"/>
        </w:rPr>
        <w:t>what steps she thinks she could take to reduce her risk of HIV.</w:t>
      </w:r>
    </w:p>
    <w:p w14:paraId="68D52458" w14:textId="39FA8741"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Remember that success is defined as risk reduction.</w:t>
      </w:r>
    </w:p>
    <w:p w14:paraId="53E02D9E" w14:textId="77777777"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Abstinence-only messages are not effective or appropriate.</w:t>
      </w:r>
    </w:p>
    <w:p w14:paraId="5A42E495" w14:textId="3086A9CC" w:rsidR="00BE0CBB" w:rsidRPr="003854E3" w:rsidRDefault="00BE0CBB" w:rsidP="00BE0CBB">
      <w:pPr>
        <w:pStyle w:val="ListParagraph"/>
        <w:numPr>
          <w:ilvl w:val="0"/>
          <w:numId w:val="43"/>
        </w:numPr>
        <w:rPr>
          <w:rFonts w:cstheme="minorHAnsi"/>
          <w:sz w:val="22"/>
          <w:szCs w:val="22"/>
        </w:rPr>
      </w:pPr>
      <w:r w:rsidRPr="003854E3">
        <w:rPr>
          <w:rFonts w:cstheme="minorHAnsi"/>
          <w:sz w:val="22"/>
          <w:szCs w:val="22"/>
        </w:rPr>
        <w:t>Goals for clients should be achievable and realistic.</w:t>
      </w:r>
      <w:r w:rsidR="004F3156">
        <w:rPr>
          <w:rFonts w:cstheme="minorHAnsi"/>
          <w:sz w:val="22"/>
          <w:szCs w:val="22"/>
        </w:rPr>
        <w:t xml:space="preserve"> Ask the client to choose a goal for herself. She is more likely to work toward a goal she sets rather than one you set.  </w:t>
      </w:r>
    </w:p>
    <w:p w14:paraId="53480E55" w14:textId="44295B96" w:rsidR="00BE0CBB" w:rsidRDefault="00BE0CBB" w:rsidP="00BE0CBB">
      <w:pPr>
        <w:rPr>
          <w:rFonts w:cstheme="minorHAnsi"/>
          <w:sz w:val="22"/>
          <w:szCs w:val="22"/>
        </w:rPr>
      </w:pPr>
    </w:p>
    <w:p w14:paraId="01AB546D" w14:textId="77777777" w:rsidR="00BE0CBB" w:rsidRPr="003854E3" w:rsidRDefault="00BE0CBB" w:rsidP="00BE0CBB">
      <w:pPr>
        <w:rPr>
          <w:rFonts w:cstheme="minorHAnsi"/>
          <w:sz w:val="22"/>
          <w:szCs w:val="22"/>
        </w:rPr>
      </w:pPr>
    </w:p>
    <w:p w14:paraId="0E5AA36E" w14:textId="77777777" w:rsidR="00BE0CBB" w:rsidRPr="003854E3" w:rsidRDefault="00BE0CBB" w:rsidP="00BE0CBB">
      <w:pPr>
        <w:contextualSpacing/>
        <w:rPr>
          <w:rFonts w:cstheme="minorHAnsi"/>
          <w:b/>
          <w:sz w:val="22"/>
          <w:szCs w:val="22"/>
        </w:rPr>
      </w:pPr>
      <w:r w:rsidRPr="003854E3">
        <w:rPr>
          <w:rFonts w:cstheme="minorHAnsi"/>
          <w:b/>
          <w:sz w:val="22"/>
          <w:szCs w:val="22"/>
        </w:rPr>
        <w:t>Affirm concerns</w:t>
      </w:r>
    </w:p>
    <w:p w14:paraId="463C708D"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Clients may express concern in response to disclosing sensitive information.</w:t>
      </w:r>
    </w:p>
    <w:p w14:paraId="17B6B6E7"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To help ease this concern, provide the client with affirmation:</w:t>
      </w:r>
    </w:p>
    <w:p w14:paraId="5793820D"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“I’m glad you told me this.”</w:t>
      </w:r>
    </w:p>
    <w:p w14:paraId="50F10729"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 know it isn’t easy to talk about this, and I appreciate your honesty.”</w:t>
      </w:r>
    </w:p>
    <w:p w14:paraId="49AC92F3" w14:textId="77777777" w:rsidR="00BE0CBB" w:rsidRPr="003854E3" w:rsidRDefault="00BE0CBB" w:rsidP="00BE0CBB">
      <w:pPr>
        <w:pStyle w:val="ListParagraph"/>
        <w:numPr>
          <w:ilvl w:val="1"/>
          <w:numId w:val="44"/>
        </w:numPr>
        <w:rPr>
          <w:rFonts w:cstheme="minorHAnsi"/>
          <w:sz w:val="22"/>
          <w:szCs w:val="22"/>
        </w:rPr>
      </w:pPr>
      <w:r w:rsidRPr="003854E3">
        <w:rPr>
          <w:rFonts w:cstheme="minorHAnsi"/>
          <w:sz w:val="22"/>
          <w:szCs w:val="22"/>
        </w:rPr>
        <w:t>“I understand why you may be concerned, but let me see how I can help you with that.”</w:t>
      </w:r>
    </w:p>
    <w:p w14:paraId="7C8E530F"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Be prepared for what you might hear.</w:t>
      </w:r>
    </w:p>
    <w:p w14:paraId="7B155E08" w14:textId="77777777" w:rsidR="00BE0CBB" w:rsidRPr="003854E3" w:rsidRDefault="00BE0CBB" w:rsidP="00BE0CBB">
      <w:pPr>
        <w:pStyle w:val="ListParagraph"/>
        <w:numPr>
          <w:ilvl w:val="0"/>
          <w:numId w:val="44"/>
        </w:numPr>
        <w:rPr>
          <w:rFonts w:cstheme="minorHAnsi"/>
          <w:sz w:val="22"/>
          <w:szCs w:val="22"/>
        </w:rPr>
      </w:pPr>
      <w:r w:rsidRPr="003854E3">
        <w:rPr>
          <w:rFonts w:cstheme="minorHAnsi"/>
          <w:sz w:val="22"/>
          <w:szCs w:val="22"/>
        </w:rPr>
        <w:t>Ask your clients to explain anything you don’t understand.</w:t>
      </w:r>
    </w:p>
    <w:p w14:paraId="7DC55535" w14:textId="77777777" w:rsidR="00BE0CBB" w:rsidRPr="003854E3" w:rsidRDefault="00BE0CBB" w:rsidP="00BE0CBB">
      <w:pPr>
        <w:rPr>
          <w:rFonts w:cstheme="minorHAnsi"/>
          <w:sz w:val="22"/>
          <w:szCs w:val="22"/>
        </w:rPr>
      </w:pPr>
    </w:p>
    <w:p w14:paraId="1662DFA5" w14:textId="77777777" w:rsidR="00BE0CBB" w:rsidRPr="003854E3" w:rsidRDefault="00BE0CBB" w:rsidP="00BE0CBB">
      <w:pPr>
        <w:contextualSpacing/>
        <w:rPr>
          <w:rFonts w:cstheme="minorHAnsi"/>
          <w:b/>
          <w:sz w:val="22"/>
          <w:szCs w:val="22"/>
        </w:rPr>
      </w:pPr>
      <w:r w:rsidRPr="003854E3">
        <w:rPr>
          <w:rFonts w:cstheme="minorHAnsi"/>
          <w:b/>
          <w:sz w:val="22"/>
          <w:szCs w:val="22"/>
        </w:rPr>
        <w:t>Give clear and consistent messages</w:t>
      </w:r>
    </w:p>
    <w:p w14:paraId="6A2A8D7D"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After getting to know clients, provide them with messages on:</w:t>
      </w:r>
    </w:p>
    <w:p w14:paraId="7D82D85C"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Risk-reduction behaviors</w:t>
      </w:r>
    </w:p>
    <w:p w14:paraId="1FB34D77"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Use of additional health services</w:t>
      </w:r>
    </w:p>
    <w:p w14:paraId="3CAF9470" w14:textId="77777777" w:rsidR="00BE0CBB" w:rsidRPr="003854E3" w:rsidRDefault="00BE0CBB" w:rsidP="00BE0CBB">
      <w:pPr>
        <w:pStyle w:val="ListParagraph"/>
        <w:numPr>
          <w:ilvl w:val="0"/>
          <w:numId w:val="45"/>
        </w:numPr>
        <w:rPr>
          <w:rFonts w:cstheme="minorHAnsi"/>
          <w:sz w:val="22"/>
          <w:szCs w:val="22"/>
        </w:rPr>
      </w:pPr>
      <w:r w:rsidRPr="003854E3">
        <w:rPr>
          <w:rFonts w:cstheme="minorHAnsi"/>
          <w:sz w:val="22"/>
          <w:szCs w:val="22"/>
        </w:rPr>
        <w:t>Messages can also be called goals because they:</w:t>
      </w:r>
    </w:p>
    <w:p w14:paraId="36DE6E1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Require a client to take action</w:t>
      </w:r>
    </w:p>
    <w:p w14:paraId="0E326DA8" w14:textId="77777777" w:rsidR="00BE0CBB" w:rsidRPr="003854E3" w:rsidRDefault="00BE0CBB" w:rsidP="00BE0CBB">
      <w:pPr>
        <w:pStyle w:val="ListParagraph"/>
        <w:numPr>
          <w:ilvl w:val="1"/>
          <w:numId w:val="45"/>
        </w:numPr>
        <w:rPr>
          <w:rFonts w:cstheme="minorHAnsi"/>
          <w:sz w:val="22"/>
          <w:szCs w:val="22"/>
        </w:rPr>
      </w:pPr>
      <w:r w:rsidRPr="003854E3">
        <w:rPr>
          <w:rFonts w:cstheme="minorHAnsi"/>
          <w:sz w:val="22"/>
          <w:szCs w:val="22"/>
        </w:rPr>
        <w:t>Require the health care provider to follow-up</w:t>
      </w:r>
    </w:p>
    <w:p w14:paraId="3FA57ED4" w14:textId="77777777" w:rsidR="00BE0CBB" w:rsidRPr="00BE0CBB" w:rsidRDefault="00BE0CBB" w:rsidP="00BE0CBB">
      <w:pPr>
        <w:rPr>
          <w:rFonts w:cstheme="minorHAnsi"/>
          <w:sz w:val="20"/>
          <w:szCs w:val="22"/>
        </w:rPr>
      </w:pPr>
    </w:p>
    <w:p w14:paraId="4AFF58B7" w14:textId="77777777" w:rsidR="00BE0CBB" w:rsidRPr="00BE0CBB" w:rsidRDefault="00BE0CBB" w:rsidP="00BE0CBB">
      <w:pPr>
        <w:rPr>
          <w:rFonts w:cstheme="minorHAnsi"/>
          <w:sz w:val="20"/>
          <w:szCs w:val="22"/>
        </w:rPr>
      </w:pPr>
      <w:r w:rsidRPr="00BE0CBB">
        <w:rPr>
          <w:rFonts w:cstheme="minorHAnsi"/>
          <w:sz w:val="20"/>
          <w:szCs w:val="22"/>
        </w:rPr>
        <w:t>Adapted from:</w:t>
      </w:r>
      <w:r w:rsidRPr="00BE0CBB">
        <w:rPr>
          <w:rFonts w:cstheme="minorHAnsi"/>
          <w:i/>
          <w:iCs/>
          <w:sz w:val="20"/>
          <w:szCs w:val="22"/>
        </w:rPr>
        <w:t xml:space="preserve"> Health4All - A health workers’ training guide for the provision of quality, stigma free HIV services for key population</w:t>
      </w:r>
      <w:r w:rsidRPr="00BE0CBB">
        <w:rPr>
          <w:rFonts w:cstheme="minorHAnsi"/>
          <w:sz w:val="20"/>
          <w:szCs w:val="22"/>
        </w:rPr>
        <w:t xml:space="preserve">s, 2018, LINKAGES Project, FHI 360 and </w:t>
      </w:r>
      <w:proofErr w:type="spellStart"/>
      <w:r w:rsidRPr="00BE0CBB">
        <w:rPr>
          <w:rFonts w:cstheme="minorHAnsi"/>
          <w:sz w:val="20"/>
          <w:szCs w:val="22"/>
        </w:rPr>
        <w:t>IntraHealth</w:t>
      </w:r>
      <w:proofErr w:type="spellEnd"/>
      <w:r w:rsidRPr="00BE0CBB">
        <w:rPr>
          <w:rFonts w:cstheme="minorHAnsi"/>
          <w:sz w:val="20"/>
          <w:szCs w:val="22"/>
        </w:rPr>
        <w:t xml:space="preserve"> International.</w:t>
      </w:r>
    </w:p>
    <w:p w14:paraId="40FB4C2E" w14:textId="77777777" w:rsidR="00BE0CBB" w:rsidRPr="003854E3" w:rsidRDefault="00BE0CBB" w:rsidP="00BE0CBB">
      <w:pPr>
        <w:rPr>
          <w:rFonts w:cstheme="minorHAnsi"/>
          <w:sz w:val="22"/>
          <w:szCs w:val="22"/>
        </w:rPr>
      </w:pPr>
    </w:p>
    <w:p w14:paraId="03A6698A" w14:textId="77777777" w:rsidR="00BE0CBB" w:rsidRPr="003854E3" w:rsidRDefault="00BE0CBB" w:rsidP="00BE0CBB">
      <w:pPr>
        <w:rPr>
          <w:rFonts w:eastAsiaTheme="majorEastAsia" w:cstheme="minorHAnsi"/>
          <w:bCs/>
          <w:color w:val="000000" w:themeColor="text1"/>
          <w:sz w:val="22"/>
          <w:szCs w:val="22"/>
          <w:shd w:val="clear" w:color="auto" w:fill="FFFFFF"/>
          <w:lang w:val="en-GB"/>
        </w:rPr>
      </w:pPr>
    </w:p>
    <w:bookmarkEnd w:id="0"/>
    <w:p w14:paraId="0A4B9DD7" w14:textId="1FB6F97F" w:rsidR="00182836" w:rsidRPr="00914087" w:rsidRDefault="009B730C" w:rsidP="00BE0CBB">
      <w:pPr>
        <w:pStyle w:val="NoSpacing"/>
        <w:rPr>
          <w:rFonts w:cstheme="minorHAnsi"/>
        </w:rPr>
      </w:pPr>
      <w:r w:rsidRPr="00DF49F5">
        <w:rPr>
          <w:rFonts w:cstheme="minorHAnsi"/>
          <w:noProof/>
          <w:lang w:eastAsia="en-ZA"/>
        </w:rPr>
        <mc:AlternateContent>
          <mc:Choice Requires="wps">
            <w:drawing>
              <wp:anchor distT="45720" distB="45720" distL="114300" distR="114300" simplePos="0" relativeHeight="251660288" behindDoc="0" locked="0" layoutInCell="1" allowOverlap="1" wp14:anchorId="498E32B6" wp14:editId="686C8CD5">
                <wp:simplePos x="0" y="0"/>
                <wp:positionH relativeFrom="margin">
                  <wp:align>left</wp:align>
                </wp:positionH>
                <wp:positionV relativeFrom="paragraph">
                  <wp:posOffset>4094480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E32B6" id="_x0000_t202" coordsize="21600,21600" o:spt="202" path="m,l,21600r21600,l21600,xe">
                <v:stroke joinstyle="miter"/>
                <v:path gradientshapeok="t" o:connecttype="rect"/>
              </v:shapetype>
              <v:shape id="Text Box 2" o:spid="_x0000_s1026" type="#_x0000_t202" style="position:absolute;margin-left:0;margin-top:322.4pt;width:508.5pt;height:4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" stroked="f">
                <v:textbox>
                  <w:txbxContent>
                    <w:p w14:paraId="032E98EE" w14:textId="77777777" w:rsidR="009B730C" w:rsidRPr="00DF49F5" w:rsidRDefault="009B730C" w:rsidP="009B730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DADA227" w14:textId="77777777" w:rsidR="009B730C" w:rsidRDefault="009B730C" w:rsidP="009B730C"/>
                  </w:txbxContent>
                </v:textbox>
                <w10:wrap type="square" anchorx="margin"/>
              </v:shape>
            </w:pict>
          </mc:Fallback>
        </mc:AlternateContent>
      </w:r>
    </w:p>
    <w:sectPr w:rsidR="00182836" w:rsidRPr="00914087" w:rsidSect="003070B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21D3" w14:textId="77777777" w:rsidR="00441C32" w:rsidRDefault="00441C32" w:rsidP="004B4896">
      <w:r>
        <w:separator/>
      </w:r>
    </w:p>
  </w:endnote>
  <w:endnote w:type="continuationSeparator" w:id="0">
    <w:p w14:paraId="0E0F8966" w14:textId="77777777" w:rsidR="00441C32" w:rsidRDefault="00441C32"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8CF6" w14:textId="77777777" w:rsidR="006D5CB1" w:rsidRDefault="006D5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77175725" w:rsidR="004B4896" w:rsidRDefault="00FC58D7">
    <w:pPr>
      <w:pStyle w:val="Footer"/>
    </w:pPr>
    <w:r>
      <w:rPr>
        <w:noProo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B40D75"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C06AA5"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bookmarkStart w:id="1" w:name="_GoBack"/>
    <w:r w:rsidR="00100989">
      <w:t>June 2019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8CD6C" w14:textId="77777777" w:rsidR="006D5CB1" w:rsidRDefault="006D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2F45" w14:textId="77777777" w:rsidR="00441C32" w:rsidRDefault="00441C32" w:rsidP="004B4896">
      <w:r>
        <w:separator/>
      </w:r>
    </w:p>
  </w:footnote>
  <w:footnote w:type="continuationSeparator" w:id="0">
    <w:p w14:paraId="4DC18C9F" w14:textId="77777777" w:rsidR="00441C32" w:rsidRDefault="00441C32" w:rsidP="004B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759E" w14:textId="77777777" w:rsidR="006D5CB1" w:rsidRDefault="006D5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3719D"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6512" w14:textId="77777777" w:rsidR="006D5CB1" w:rsidRDefault="006D5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00989"/>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41C32"/>
    <w:rsid w:val="004915A2"/>
    <w:rsid w:val="00492B69"/>
    <w:rsid w:val="004B4896"/>
    <w:rsid w:val="004D5CD5"/>
    <w:rsid w:val="004F3156"/>
    <w:rsid w:val="004F6919"/>
    <w:rsid w:val="005059BD"/>
    <w:rsid w:val="005072E4"/>
    <w:rsid w:val="00535D94"/>
    <w:rsid w:val="00570CC9"/>
    <w:rsid w:val="005E0EF5"/>
    <w:rsid w:val="006474E8"/>
    <w:rsid w:val="0065294C"/>
    <w:rsid w:val="00690266"/>
    <w:rsid w:val="006A00E6"/>
    <w:rsid w:val="006D5CB1"/>
    <w:rsid w:val="00735FA4"/>
    <w:rsid w:val="00757B7E"/>
    <w:rsid w:val="00763CF7"/>
    <w:rsid w:val="00793617"/>
    <w:rsid w:val="007B7ECE"/>
    <w:rsid w:val="00807E36"/>
    <w:rsid w:val="00813FFD"/>
    <w:rsid w:val="008A1128"/>
    <w:rsid w:val="00914087"/>
    <w:rsid w:val="00973819"/>
    <w:rsid w:val="009B730C"/>
    <w:rsid w:val="00A03134"/>
    <w:rsid w:val="00A835AB"/>
    <w:rsid w:val="00B145A3"/>
    <w:rsid w:val="00B87AA5"/>
    <w:rsid w:val="00B9088C"/>
    <w:rsid w:val="00BE0CBB"/>
    <w:rsid w:val="00C12920"/>
    <w:rsid w:val="00C26FD4"/>
    <w:rsid w:val="00D2374E"/>
    <w:rsid w:val="00DF4DCD"/>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B96E94-FC44-41A8-87C2-263D7B74A2FF}" type="doc">
      <dgm:prSet loTypeId="urn:microsoft.com/office/officeart/2005/8/layout/pyramid3" loCatId="pyramid" qsTypeId="urn:microsoft.com/office/officeart/2005/8/quickstyle/simple1" qsCatId="simple" csTypeId="urn:microsoft.com/office/officeart/2005/8/colors/accent2_3" csCatId="accent2" phldr="1"/>
      <dgm:spPr/>
    </dgm:pt>
    <dgm:pt modelId="{927C2293-AC8D-4E5B-9E50-59EF17BB9F2C}">
      <dgm:prSet phldrT="[Text]"/>
      <dgm:spPr/>
      <dgm:t>
        <a:bodyPr/>
        <a:lstStyle/>
        <a:p>
          <a:pPr algn="ctr"/>
          <a:r>
            <a:rPr lang="en-US" dirty="0"/>
            <a:t>Tell me about current or recent sexual relationships</a:t>
          </a:r>
        </a:p>
      </dgm:t>
    </dgm:pt>
    <dgm:pt modelId="{FA4A2881-E4D7-45C7-82B4-AC1EC8753EB4}" type="parTrans" cxnId="{FCAF5FB9-6CF9-4A9E-9072-49CBE3EE3508}">
      <dgm:prSet/>
      <dgm:spPr/>
      <dgm:t>
        <a:bodyPr/>
        <a:lstStyle/>
        <a:p>
          <a:pPr algn="ctr"/>
          <a:endParaRPr lang="en-US"/>
        </a:p>
      </dgm:t>
    </dgm:pt>
    <dgm:pt modelId="{F8BF9CB7-3567-407E-8849-5D0BCB2E2C1E}" type="sibTrans" cxnId="{FCAF5FB9-6CF9-4A9E-9072-49CBE3EE3508}">
      <dgm:prSet/>
      <dgm:spPr/>
      <dgm:t>
        <a:bodyPr/>
        <a:lstStyle/>
        <a:p>
          <a:pPr algn="ctr"/>
          <a:endParaRPr lang="en-US"/>
        </a:p>
      </dgm:t>
    </dgm:pt>
    <dgm:pt modelId="{70FAFC75-6B87-46FE-9F24-23B883192A74}">
      <dgm:prSet phldrT="[Text]"/>
      <dgm:spPr/>
      <dgm:t>
        <a:bodyPr/>
        <a:lstStyle/>
        <a:p>
          <a:pPr algn="ctr"/>
          <a:r>
            <a:rPr lang="en-US" dirty="0"/>
            <a:t>How many/what kind of partners</a:t>
          </a:r>
        </a:p>
      </dgm:t>
    </dgm:pt>
    <dgm:pt modelId="{4E23C9E6-D84A-47A4-9278-DB7B28E64F4E}" type="parTrans" cxnId="{F2AD34B5-4452-4C6C-A63B-9E5B079F97F2}">
      <dgm:prSet/>
      <dgm:spPr/>
      <dgm:t>
        <a:bodyPr/>
        <a:lstStyle/>
        <a:p>
          <a:pPr algn="ctr"/>
          <a:endParaRPr lang="en-US"/>
        </a:p>
      </dgm:t>
    </dgm:pt>
    <dgm:pt modelId="{CA67536A-E2D9-46C8-8D65-8EA86BC858AA}" type="sibTrans" cxnId="{F2AD34B5-4452-4C6C-A63B-9E5B079F97F2}">
      <dgm:prSet/>
      <dgm:spPr/>
      <dgm:t>
        <a:bodyPr/>
        <a:lstStyle/>
        <a:p>
          <a:pPr algn="ctr"/>
          <a:endParaRPr lang="en-US"/>
        </a:p>
      </dgm:t>
    </dgm:pt>
    <dgm:pt modelId="{CDD6EFA3-1F7F-464D-A48F-7D2E4EB3E2BE}">
      <dgm:prSet phldrT="[Text]"/>
      <dgm:spPr/>
      <dgm:t>
        <a:bodyPr/>
        <a:lstStyle/>
        <a:p>
          <a:pPr algn="ctr"/>
          <a:r>
            <a:rPr lang="en-US" dirty="0"/>
            <a:t>What kind of sex</a:t>
          </a:r>
        </a:p>
      </dgm:t>
    </dgm:pt>
    <dgm:pt modelId="{19ED7B78-C4D9-4D99-B6F3-9752F3EC8A3C}" type="parTrans" cxnId="{11704E63-57A2-48BF-AD65-16CC61957141}">
      <dgm:prSet/>
      <dgm:spPr/>
      <dgm:t>
        <a:bodyPr/>
        <a:lstStyle/>
        <a:p>
          <a:pPr algn="ctr"/>
          <a:endParaRPr lang="en-US"/>
        </a:p>
      </dgm:t>
    </dgm:pt>
    <dgm:pt modelId="{67210990-3D55-43C6-8294-E08FCE18A004}" type="sibTrans" cxnId="{11704E63-57A2-48BF-AD65-16CC61957141}">
      <dgm:prSet/>
      <dgm:spPr/>
      <dgm:t>
        <a:bodyPr/>
        <a:lstStyle/>
        <a:p>
          <a:pPr algn="ctr"/>
          <a:endParaRPr lang="en-US"/>
        </a:p>
      </dgm:t>
    </dgm:pt>
    <dgm:pt modelId="{E8DABF34-C5E9-405F-8E6C-CBFB6546B5E8}">
      <dgm:prSet phldrT="[Text]"/>
      <dgm:spPr/>
      <dgm:t>
        <a:bodyPr/>
        <a:lstStyle/>
        <a:p>
          <a:pPr algn="ctr"/>
          <a:r>
            <a:rPr lang="en-US" dirty="0"/>
            <a:t>Use condoms and lube</a:t>
          </a:r>
        </a:p>
      </dgm:t>
    </dgm:pt>
    <dgm:pt modelId="{71F5ACD7-9068-4980-ACAD-1E54AD9630CE}" type="parTrans" cxnId="{072E5C44-6FBD-41B8-A559-887608E86F53}">
      <dgm:prSet/>
      <dgm:spPr/>
      <dgm:t>
        <a:bodyPr/>
        <a:lstStyle/>
        <a:p>
          <a:pPr algn="ctr"/>
          <a:endParaRPr lang="en-US"/>
        </a:p>
      </dgm:t>
    </dgm:pt>
    <dgm:pt modelId="{0EB1ABBE-6AE0-489F-A41D-905464A2AB77}" type="sibTrans" cxnId="{072E5C44-6FBD-41B8-A559-887608E86F53}">
      <dgm:prSet/>
      <dgm:spPr/>
      <dgm:t>
        <a:bodyPr/>
        <a:lstStyle/>
        <a:p>
          <a:pPr algn="ctr"/>
          <a:endParaRPr lang="en-US"/>
        </a:p>
      </dgm:t>
    </dgm:pt>
    <dgm:pt modelId="{1B1DE9F5-8D4C-4FFE-841E-974AB1F9A367}" type="pres">
      <dgm:prSet presAssocID="{F2B96E94-FC44-41A8-87C2-263D7B74A2FF}" presName="Name0" presStyleCnt="0">
        <dgm:presLayoutVars>
          <dgm:dir/>
          <dgm:animLvl val="lvl"/>
          <dgm:resizeHandles val="exact"/>
        </dgm:presLayoutVars>
      </dgm:prSet>
      <dgm:spPr/>
    </dgm:pt>
    <dgm:pt modelId="{9925B7B9-6DBF-4B44-BEB7-9FE6C2F63E73}" type="pres">
      <dgm:prSet presAssocID="{927C2293-AC8D-4E5B-9E50-59EF17BB9F2C}" presName="Name8" presStyleCnt="0"/>
      <dgm:spPr/>
    </dgm:pt>
    <dgm:pt modelId="{190211E5-05A9-4ECE-BA13-5106FE0CCE00}" type="pres">
      <dgm:prSet presAssocID="{927C2293-AC8D-4E5B-9E50-59EF17BB9F2C}" presName="level" presStyleLbl="node1" presStyleIdx="0" presStyleCnt="4">
        <dgm:presLayoutVars>
          <dgm:chMax val="1"/>
          <dgm:bulletEnabled val="1"/>
        </dgm:presLayoutVars>
      </dgm:prSet>
      <dgm:spPr/>
      <dgm:t>
        <a:bodyPr/>
        <a:lstStyle/>
        <a:p>
          <a:endParaRPr lang="en-ZA"/>
        </a:p>
      </dgm:t>
    </dgm:pt>
    <dgm:pt modelId="{53DAF6B8-6FF1-4C91-BC62-6C9BAB7261A7}" type="pres">
      <dgm:prSet presAssocID="{927C2293-AC8D-4E5B-9E50-59EF17BB9F2C}" presName="levelTx" presStyleLbl="revTx" presStyleIdx="0" presStyleCnt="0">
        <dgm:presLayoutVars>
          <dgm:chMax val="1"/>
          <dgm:bulletEnabled val="1"/>
        </dgm:presLayoutVars>
      </dgm:prSet>
      <dgm:spPr/>
      <dgm:t>
        <a:bodyPr/>
        <a:lstStyle/>
        <a:p>
          <a:endParaRPr lang="en-ZA"/>
        </a:p>
      </dgm:t>
    </dgm:pt>
    <dgm:pt modelId="{8FC881B0-65AA-40A9-B80D-299F5F27EF06}" type="pres">
      <dgm:prSet presAssocID="{70FAFC75-6B87-46FE-9F24-23B883192A74}" presName="Name8" presStyleCnt="0"/>
      <dgm:spPr/>
    </dgm:pt>
    <dgm:pt modelId="{B14604F7-26A7-4F96-80DE-8BB899031FE7}" type="pres">
      <dgm:prSet presAssocID="{70FAFC75-6B87-46FE-9F24-23B883192A74}" presName="level" presStyleLbl="node1" presStyleIdx="1" presStyleCnt="4">
        <dgm:presLayoutVars>
          <dgm:chMax val="1"/>
          <dgm:bulletEnabled val="1"/>
        </dgm:presLayoutVars>
      </dgm:prSet>
      <dgm:spPr/>
      <dgm:t>
        <a:bodyPr/>
        <a:lstStyle/>
        <a:p>
          <a:endParaRPr lang="en-ZA"/>
        </a:p>
      </dgm:t>
    </dgm:pt>
    <dgm:pt modelId="{081FFCDF-12FD-47DD-B6A6-135C6ABA1B2D}" type="pres">
      <dgm:prSet presAssocID="{70FAFC75-6B87-46FE-9F24-23B883192A74}" presName="levelTx" presStyleLbl="revTx" presStyleIdx="0" presStyleCnt="0">
        <dgm:presLayoutVars>
          <dgm:chMax val="1"/>
          <dgm:bulletEnabled val="1"/>
        </dgm:presLayoutVars>
      </dgm:prSet>
      <dgm:spPr/>
      <dgm:t>
        <a:bodyPr/>
        <a:lstStyle/>
        <a:p>
          <a:endParaRPr lang="en-ZA"/>
        </a:p>
      </dgm:t>
    </dgm:pt>
    <dgm:pt modelId="{9197B214-1353-4DEC-8DF1-1DA81BA1222C}" type="pres">
      <dgm:prSet presAssocID="{CDD6EFA3-1F7F-464D-A48F-7D2E4EB3E2BE}" presName="Name8" presStyleCnt="0"/>
      <dgm:spPr/>
    </dgm:pt>
    <dgm:pt modelId="{27E5C082-E9F7-4205-9AA1-753FA8D525C5}" type="pres">
      <dgm:prSet presAssocID="{CDD6EFA3-1F7F-464D-A48F-7D2E4EB3E2BE}" presName="level" presStyleLbl="node1" presStyleIdx="2" presStyleCnt="4">
        <dgm:presLayoutVars>
          <dgm:chMax val="1"/>
          <dgm:bulletEnabled val="1"/>
        </dgm:presLayoutVars>
      </dgm:prSet>
      <dgm:spPr/>
      <dgm:t>
        <a:bodyPr/>
        <a:lstStyle/>
        <a:p>
          <a:endParaRPr lang="en-ZA"/>
        </a:p>
      </dgm:t>
    </dgm:pt>
    <dgm:pt modelId="{E1A986D9-AE06-48AD-A416-0B9E949B3952}" type="pres">
      <dgm:prSet presAssocID="{CDD6EFA3-1F7F-464D-A48F-7D2E4EB3E2BE}" presName="levelTx" presStyleLbl="revTx" presStyleIdx="0" presStyleCnt="0">
        <dgm:presLayoutVars>
          <dgm:chMax val="1"/>
          <dgm:bulletEnabled val="1"/>
        </dgm:presLayoutVars>
      </dgm:prSet>
      <dgm:spPr/>
      <dgm:t>
        <a:bodyPr/>
        <a:lstStyle/>
        <a:p>
          <a:endParaRPr lang="en-ZA"/>
        </a:p>
      </dgm:t>
    </dgm:pt>
    <dgm:pt modelId="{36C17418-EA96-48B7-89D2-7F8DCE87C848}" type="pres">
      <dgm:prSet presAssocID="{E8DABF34-C5E9-405F-8E6C-CBFB6546B5E8}" presName="Name8" presStyleCnt="0"/>
      <dgm:spPr/>
    </dgm:pt>
    <dgm:pt modelId="{2B036716-CE33-409E-B441-68C38DDACD4C}" type="pres">
      <dgm:prSet presAssocID="{E8DABF34-C5E9-405F-8E6C-CBFB6546B5E8}" presName="level" presStyleLbl="node1" presStyleIdx="3" presStyleCnt="4">
        <dgm:presLayoutVars>
          <dgm:chMax val="1"/>
          <dgm:bulletEnabled val="1"/>
        </dgm:presLayoutVars>
      </dgm:prSet>
      <dgm:spPr/>
      <dgm:t>
        <a:bodyPr/>
        <a:lstStyle/>
        <a:p>
          <a:endParaRPr lang="en-ZA"/>
        </a:p>
      </dgm:t>
    </dgm:pt>
    <dgm:pt modelId="{6A5ADB27-23C4-4FC5-86B2-6FAD6C5F2F35}" type="pres">
      <dgm:prSet presAssocID="{E8DABF34-C5E9-405F-8E6C-CBFB6546B5E8}" presName="levelTx" presStyleLbl="revTx" presStyleIdx="0" presStyleCnt="0">
        <dgm:presLayoutVars>
          <dgm:chMax val="1"/>
          <dgm:bulletEnabled val="1"/>
        </dgm:presLayoutVars>
      </dgm:prSet>
      <dgm:spPr/>
      <dgm:t>
        <a:bodyPr/>
        <a:lstStyle/>
        <a:p>
          <a:endParaRPr lang="en-ZA"/>
        </a:p>
      </dgm:t>
    </dgm:pt>
  </dgm:ptLst>
  <dgm:cxnLst>
    <dgm:cxn modelId="{19761619-FF01-4E48-9E9F-1F872B8360E5}" type="presOf" srcId="{70FAFC75-6B87-46FE-9F24-23B883192A74}" destId="{B14604F7-26A7-4F96-80DE-8BB899031FE7}" srcOrd="0" destOrd="0" presId="urn:microsoft.com/office/officeart/2005/8/layout/pyramid3"/>
    <dgm:cxn modelId="{D9E3C51B-AF01-416A-BD81-89B08686C75D}" type="presOf" srcId="{F2B96E94-FC44-41A8-87C2-263D7B74A2FF}" destId="{1B1DE9F5-8D4C-4FFE-841E-974AB1F9A367}" srcOrd="0" destOrd="0" presId="urn:microsoft.com/office/officeart/2005/8/layout/pyramid3"/>
    <dgm:cxn modelId="{C49ADDAF-9B24-42D4-AE7C-E79108C384B7}" type="presOf" srcId="{CDD6EFA3-1F7F-464D-A48F-7D2E4EB3E2BE}" destId="{E1A986D9-AE06-48AD-A416-0B9E949B3952}" srcOrd="1" destOrd="0" presId="urn:microsoft.com/office/officeart/2005/8/layout/pyramid3"/>
    <dgm:cxn modelId="{F2AD34B5-4452-4C6C-A63B-9E5B079F97F2}" srcId="{F2B96E94-FC44-41A8-87C2-263D7B74A2FF}" destId="{70FAFC75-6B87-46FE-9F24-23B883192A74}" srcOrd="1" destOrd="0" parTransId="{4E23C9E6-D84A-47A4-9278-DB7B28E64F4E}" sibTransId="{CA67536A-E2D9-46C8-8D65-8EA86BC858AA}"/>
    <dgm:cxn modelId="{7DC757B9-F405-4F91-821F-B72320C49656}" type="presOf" srcId="{CDD6EFA3-1F7F-464D-A48F-7D2E4EB3E2BE}" destId="{27E5C082-E9F7-4205-9AA1-753FA8D525C5}" srcOrd="0" destOrd="0" presId="urn:microsoft.com/office/officeart/2005/8/layout/pyramid3"/>
    <dgm:cxn modelId="{FCAF5FB9-6CF9-4A9E-9072-49CBE3EE3508}" srcId="{F2B96E94-FC44-41A8-87C2-263D7B74A2FF}" destId="{927C2293-AC8D-4E5B-9E50-59EF17BB9F2C}" srcOrd="0" destOrd="0" parTransId="{FA4A2881-E4D7-45C7-82B4-AC1EC8753EB4}" sibTransId="{F8BF9CB7-3567-407E-8849-5D0BCB2E2C1E}"/>
    <dgm:cxn modelId="{D11837A0-0876-4767-BC84-62F4CF9884A5}" type="presOf" srcId="{927C2293-AC8D-4E5B-9E50-59EF17BB9F2C}" destId="{190211E5-05A9-4ECE-BA13-5106FE0CCE00}" srcOrd="0" destOrd="0" presId="urn:microsoft.com/office/officeart/2005/8/layout/pyramid3"/>
    <dgm:cxn modelId="{072E5C44-6FBD-41B8-A559-887608E86F53}" srcId="{F2B96E94-FC44-41A8-87C2-263D7B74A2FF}" destId="{E8DABF34-C5E9-405F-8E6C-CBFB6546B5E8}" srcOrd="3" destOrd="0" parTransId="{71F5ACD7-9068-4980-ACAD-1E54AD9630CE}" sibTransId="{0EB1ABBE-6AE0-489F-A41D-905464A2AB77}"/>
    <dgm:cxn modelId="{4391882E-14A2-4368-A8E1-26B2F3B7630C}" type="presOf" srcId="{E8DABF34-C5E9-405F-8E6C-CBFB6546B5E8}" destId="{2B036716-CE33-409E-B441-68C38DDACD4C}" srcOrd="0" destOrd="0" presId="urn:microsoft.com/office/officeart/2005/8/layout/pyramid3"/>
    <dgm:cxn modelId="{84B2D4B8-0EBF-4B91-B597-02BC5CE9BBFA}" type="presOf" srcId="{70FAFC75-6B87-46FE-9F24-23B883192A74}" destId="{081FFCDF-12FD-47DD-B6A6-135C6ABA1B2D}" srcOrd="1" destOrd="0" presId="urn:microsoft.com/office/officeart/2005/8/layout/pyramid3"/>
    <dgm:cxn modelId="{F34CC6FC-5EBE-4325-9448-86BD0AA8B531}" type="presOf" srcId="{E8DABF34-C5E9-405F-8E6C-CBFB6546B5E8}" destId="{6A5ADB27-23C4-4FC5-86B2-6FAD6C5F2F35}" srcOrd="1" destOrd="0" presId="urn:microsoft.com/office/officeart/2005/8/layout/pyramid3"/>
    <dgm:cxn modelId="{5E4BDBB7-3F0A-4EDC-8A34-A31328407BC9}" type="presOf" srcId="{927C2293-AC8D-4E5B-9E50-59EF17BB9F2C}" destId="{53DAF6B8-6FF1-4C91-BC62-6C9BAB7261A7}" srcOrd="1" destOrd="0" presId="urn:microsoft.com/office/officeart/2005/8/layout/pyramid3"/>
    <dgm:cxn modelId="{11704E63-57A2-48BF-AD65-16CC61957141}" srcId="{F2B96E94-FC44-41A8-87C2-263D7B74A2FF}" destId="{CDD6EFA3-1F7F-464D-A48F-7D2E4EB3E2BE}" srcOrd="2" destOrd="0" parTransId="{19ED7B78-C4D9-4D99-B6F3-9752F3EC8A3C}" sibTransId="{67210990-3D55-43C6-8294-E08FCE18A004}"/>
    <dgm:cxn modelId="{B6B475A5-FA9E-4195-BEEC-3354ACDA175F}" type="presParOf" srcId="{1B1DE9F5-8D4C-4FFE-841E-974AB1F9A367}" destId="{9925B7B9-6DBF-4B44-BEB7-9FE6C2F63E73}" srcOrd="0" destOrd="0" presId="urn:microsoft.com/office/officeart/2005/8/layout/pyramid3"/>
    <dgm:cxn modelId="{1B0B8002-73B3-45BF-8201-DA4F676C0BA2}" type="presParOf" srcId="{9925B7B9-6DBF-4B44-BEB7-9FE6C2F63E73}" destId="{190211E5-05A9-4ECE-BA13-5106FE0CCE00}" srcOrd="0" destOrd="0" presId="urn:microsoft.com/office/officeart/2005/8/layout/pyramid3"/>
    <dgm:cxn modelId="{32EC3F05-40C9-49A8-A46C-BF1A389B4A87}" type="presParOf" srcId="{9925B7B9-6DBF-4B44-BEB7-9FE6C2F63E73}" destId="{53DAF6B8-6FF1-4C91-BC62-6C9BAB7261A7}" srcOrd="1" destOrd="0" presId="urn:microsoft.com/office/officeart/2005/8/layout/pyramid3"/>
    <dgm:cxn modelId="{CBAFCD3A-4AAB-42B3-A51C-494CD5B6C3B3}" type="presParOf" srcId="{1B1DE9F5-8D4C-4FFE-841E-974AB1F9A367}" destId="{8FC881B0-65AA-40A9-B80D-299F5F27EF06}" srcOrd="1" destOrd="0" presId="urn:microsoft.com/office/officeart/2005/8/layout/pyramid3"/>
    <dgm:cxn modelId="{CECC5F87-9689-49B4-9A66-00DE751936DE}" type="presParOf" srcId="{8FC881B0-65AA-40A9-B80D-299F5F27EF06}" destId="{B14604F7-26A7-4F96-80DE-8BB899031FE7}" srcOrd="0" destOrd="0" presId="urn:microsoft.com/office/officeart/2005/8/layout/pyramid3"/>
    <dgm:cxn modelId="{4D8FCEDF-DFFD-4947-A1FC-38F5FA1EF70B}" type="presParOf" srcId="{8FC881B0-65AA-40A9-B80D-299F5F27EF06}" destId="{081FFCDF-12FD-47DD-B6A6-135C6ABA1B2D}" srcOrd="1" destOrd="0" presId="urn:microsoft.com/office/officeart/2005/8/layout/pyramid3"/>
    <dgm:cxn modelId="{0DD55B0C-4102-4769-861D-7264F82DC603}" type="presParOf" srcId="{1B1DE9F5-8D4C-4FFE-841E-974AB1F9A367}" destId="{9197B214-1353-4DEC-8DF1-1DA81BA1222C}" srcOrd="2" destOrd="0" presId="urn:microsoft.com/office/officeart/2005/8/layout/pyramid3"/>
    <dgm:cxn modelId="{09A40C88-7C30-4D9B-AFDD-2F3BF8CB0BCF}" type="presParOf" srcId="{9197B214-1353-4DEC-8DF1-1DA81BA1222C}" destId="{27E5C082-E9F7-4205-9AA1-753FA8D525C5}" srcOrd="0" destOrd="0" presId="urn:microsoft.com/office/officeart/2005/8/layout/pyramid3"/>
    <dgm:cxn modelId="{DFC87281-DF67-4265-865F-8DAC5AB75BDE}" type="presParOf" srcId="{9197B214-1353-4DEC-8DF1-1DA81BA1222C}" destId="{E1A986D9-AE06-48AD-A416-0B9E949B3952}" srcOrd="1" destOrd="0" presId="urn:microsoft.com/office/officeart/2005/8/layout/pyramid3"/>
    <dgm:cxn modelId="{6AA5260F-F022-45DE-BF16-138B72A8710F}" type="presParOf" srcId="{1B1DE9F5-8D4C-4FFE-841E-974AB1F9A367}" destId="{36C17418-EA96-48B7-89D2-7F8DCE87C848}" srcOrd="3" destOrd="0" presId="urn:microsoft.com/office/officeart/2005/8/layout/pyramid3"/>
    <dgm:cxn modelId="{7962587E-966F-41FC-A9F3-F0A49282DCD4}" type="presParOf" srcId="{36C17418-EA96-48B7-89D2-7F8DCE87C848}" destId="{2B036716-CE33-409E-B441-68C38DDACD4C}" srcOrd="0" destOrd="0" presId="urn:microsoft.com/office/officeart/2005/8/layout/pyramid3"/>
    <dgm:cxn modelId="{562E7885-005B-4177-AFCF-9AD0E21D9884}" type="presParOf" srcId="{36C17418-EA96-48B7-89D2-7F8DCE87C848}" destId="{6A5ADB27-23C4-4FC5-86B2-6FAD6C5F2F35}" srcOrd="1" destOrd="0" presId="urn:microsoft.com/office/officeart/2005/8/layout/pyramid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211E5-05A9-4ECE-BA13-5106FE0CCE00}">
      <dsp:nvSpPr>
        <dsp:cNvPr id="0" name=""/>
        <dsp:cNvSpPr/>
      </dsp:nvSpPr>
      <dsp:spPr>
        <a:xfrm rot="10800000">
          <a:off x="0" y="0"/>
          <a:ext cx="2458085" cy="587692"/>
        </a:xfrm>
        <a:prstGeom prst="trapezoid">
          <a:avLst>
            <a:gd name="adj" fmla="val 52283"/>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a:t>Tell me about current or recent sexual relationships</a:t>
          </a:r>
        </a:p>
      </dsp:txBody>
      <dsp:txXfrm rot="-10800000">
        <a:off x="430164" y="0"/>
        <a:ext cx="1597755" cy="587692"/>
      </dsp:txXfrm>
    </dsp:sp>
    <dsp:sp modelId="{B14604F7-26A7-4F96-80DE-8BB899031FE7}">
      <dsp:nvSpPr>
        <dsp:cNvPr id="0" name=""/>
        <dsp:cNvSpPr/>
      </dsp:nvSpPr>
      <dsp:spPr>
        <a:xfrm rot="10800000">
          <a:off x="307260" y="587692"/>
          <a:ext cx="1843563" cy="587692"/>
        </a:xfrm>
        <a:prstGeom prst="trapezoid">
          <a:avLst>
            <a:gd name="adj" fmla="val 52283"/>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a:t>How many/what kind of partners</a:t>
          </a:r>
        </a:p>
      </dsp:txBody>
      <dsp:txXfrm rot="-10800000">
        <a:off x="629884" y="587692"/>
        <a:ext cx="1198316" cy="587692"/>
      </dsp:txXfrm>
    </dsp:sp>
    <dsp:sp modelId="{27E5C082-E9F7-4205-9AA1-753FA8D525C5}">
      <dsp:nvSpPr>
        <dsp:cNvPr id="0" name=""/>
        <dsp:cNvSpPr/>
      </dsp:nvSpPr>
      <dsp:spPr>
        <a:xfrm rot="10800000">
          <a:off x="614521" y="1175385"/>
          <a:ext cx="1229042" cy="587692"/>
        </a:xfrm>
        <a:prstGeom prst="trapezoid">
          <a:avLst>
            <a:gd name="adj" fmla="val 52283"/>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a:t>What kind of sex</a:t>
          </a:r>
        </a:p>
      </dsp:txBody>
      <dsp:txXfrm rot="-10800000">
        <a:off x="829603" y="1175385"/>
        <a:ext cx="798877" cy="587692"/>
      </dsp:txXfrm>
    </dsp:sp>
    <dsp:sp modelId="{2B036716-CE33-409E-B441-68C38DDACD4C}">
      <dsp:nvSpPr>
        <dsp:cNvPr id="0" name=""/>
        <dsp:cNvSpPr/>
      </dsp:nvSpPr>
      <dsp:spPr>
        <a:xfrm rot="10800000">
          <a:off x="921781" y="1763077"/>
          <a:ext cx="614521" cy="587692"/>
        </a:xfrm>
        <a:prstGeom prst="trapezoid">
          <a:avLst>
            <a:gd name="adj" fmla="val 52283"/>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dirty="0"/>
            <a:t>Use condoms and lube</a:t>
          </a:r>
        </a:p>
      </dsp:txBody>
      <dsp:txXfrm rot="-10800000">
        <a:off x="921781" y="1763077"/>
        <a:ext cx="614521" cy="58769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7446CA2E49EA48B23AB144E5F68B05" ma:contentTypeVersion="4" ma:contentTypeDescription="Create a new document." ma:contentTypeScope="" ma:versionID="0e2f910f3be4a97353c56d09c16b2188">
  <xsd:schema xmlns:xsd="http://www.w3.org/2001/XMLSchema" xmlns:xs="http://www.w3.org/2001/XMLSchema" xmlns:p="http://schemas.microsoft.com/office/2006/metadata/properties" xmlns:ns2="366a760a-4fb5-4128-91d0-4c3632a7b540" xmlns:ns3="4d70f775-b816-4d34-b2bf-d63fcbaa68fe" targetNamespace="http://schemas.microsoft.com/office/2006/metadata/properties" ma:root="true" ma:fieldsID="fbe2fed1fa53de2c9ca9b431ebe0e848" ns2:_="" ns3:_="">
    <xsd:import namespace="366a760a-4fb5-4128-91d0-4c3632a7b540"/>
    <xsd:import namespace="4d70f775-b816-4d34-b2bf-d63fcbaa6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760a-4fb5-4128-91d0-4c3632a7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4D68C-E637-4403-B381-E2DD940D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760a-4fb5-4128-91d0-4c3632a7b540"/>
    <ds:schemaRef ds:uri="4d70f775-b816-4d34-b2bf-d63fcbaa6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EADE8-536F-4F6D-8851-05436C4A2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3</cp:revision>
  <dcterms:created xsi:type="dcterms:W3CDTF">2019-06-10T20:47:00Z</dcterms:created>
  <dcterms:modified xsi:type="dcterms:W3CDTF">2019-06-10T20:52:00Z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0x010100D07446CA2E49EA48B23AB144E5F68B05</vt:lpwstr>
  </property>
</Properties>
</file>